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rPr>
          <w:color w:val="auto"/>
          <w:highlight w:val="none"/>
        </w:rPr>
      </w:pPr>
    </w:p>
    <w:p>
      <w:pPr>
        <w:rPr>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jc w:val="center"/>
        <w:rPr>
          <w:rFonts w:ascii="宋体" w:hAnsi="宋体" w:cs="宋体"/>
          <w:color w:val="auto"/>
          <w:sz w:val="48"/>
          <w:szCs w:val="48"/>
          <w:highlight w:val="none"/>
        </w:rPr>
      </w:pPr>
      <w:r>
        <w:rPr>
          <w:rFonts w:hint="eastAsia" w:ascii="宋体" w:hAnsi="宋体" w:cs="宋体"/>
          <w:color w:val="auto"/>
          <w:sz w:val="48"/>
          <w:szCs w:val="48"/>
          <w:highlight w:val="none"/>
        </w:rPr>
        <w:t>山东颐养健康集团肥城医院手术室及消毒供应室装修改造工程</w:t>
      </w:r>
    </w:p>
    <w:p>
      <w:pPr>
        <w:pStyle w:val="2"/>
        <w:rPr>
          <w:color w:val="auto"/>
          <w:highlight w:val="none"/>
        </w:rPr>
      </w:pPr>
    </w:p>
    <w:p>
      <w:pPr>
        <w:jc w:val="center"/>
        <w:rPr>
          <w:rFonts w:ascii="宋体" w:hAnsi="宋体" w:cs="宋体"/>
          <w:color w:val="auto"/>
          <w:sz w:val="72"/>
          <w:szCs w:val="72"/>
          <w:highlight w:val="none"/>
        </w:rPr>
      </w:pPr>
      <w:r>
        <w:rPr>
          <w:rFonts w:hint="eastAsia" w:ascii="宋体" w:hAnsi="宋体" w:cs="宋体"/>
          <w:color w:val="auto"/>
          <w:sz w:val="72"/>
          <w:szCs w:val="72"/>
          <w:highlight w:val="none"/>
        </w:rPr>
        <w:t>竞争性谈判文件</w:t>
      </w:r>
    </w:p>
    <w:p>
      <w:pPr>
        <w:spacing w:line="400" w:lineRule="exact"/>
        <w:rPr>
          <w:rFonts w:ascii="宋体" w:hAnsi="宋体" w:cs="宋体"/>
          <w:color w:val="auto"/>
          <w:highlight w:val="none"/>
        </w:rPr>
      </w:pPr>
    </w:p>
    <w:p>
      <w:pPr>
        <w:spacing w:line="400" w:lineRule="exact"/>
        <w:jc w:val="center"/>
        <w:rPr>
          <w:rFonts w:ascii="宋体" w:hAnsi="宋体" w:cs="宋体"/>
          <w:color w:val="auto"/>
          <w:highlight w:val="none"/>
        </w:rPr>
      </w:pPr>
      <w:r>
        <w:rPr>
          <w:rFonts w:hint="eastAsia" w:ascii="宋体" w:hAnsi="宋体" w:cs="宋体"/>
          <w:b/>
          <w:color w:val="auto"/>
          <w:sz w:val="28"/>
          <w:szCs w:val="28"/>
          <w:highlight w:val="none"/>
        </w:rPr>
        <w:t>项目编号：</w:t>
      </w:r>
      <w:r>
        <w:rPr>
          <w:rFonts w:ascii="宋体" w:hAnsi="宋体" w:cs="宋体"/>
          <w:b/>
          <w:color w:val="auto"/>
          <w:sz w:val="28"/>
          <w:szCs w:val="28"/>
          <w:highlight w:val="none"/>
        </w:rPr>
        <w:t>FCYY2023TP001</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pStyle w:val="28"/>
        <w:rPr>
          <w:rFonts w:ascii="宋体" w:hAnsi="宋体" w:cs="宋体"/>
          <w:color w:val="auto"/>
          <w:highlight w:val="none"/>
        </w:rPr>
      </w:pPr>
    </w:p>
    <w:p>
      <w:pPr>
        <w:rPr>
          <w:color w:val="auto"/>
          <w:highlight w:val="none"/>
        </w:rPr>
      </w:pPr>
    </w:p>
    <w:p>
      <w:pPr>
        <w:ind w:firstLine="1500" w:firstLineChars="500"/>
        <w:rPr>
          <w:rFonts w:ascii="宋体" w:hAnsi="宋体" w:cs="宋体"/>
          <w:color w:val="auto"/>
          <w:sz w:val="30"/>
          <w:szCs w:val="30"/>
          <w:highlight w:val="none"/>
          <w:u w:val="single"/>
        </w:rPr>
      </w:pPr>
      <w:r>
        <w:rPr>
          <w:rFonts w:hint="eastAsia" w:ascii="宋体" w:hAnsi="宋体" w:cs="宋体"/>
          <w:color w:val="auto"/>
          <w:sz w:val="30"/>
          <w:szCs w:val="30"/>
          <w:highlight w:val="none"/>
        </w:rPr>
        <w:t>采 购 人：</w:t>
      </w:r>
      <w:r>
        <w:rPr>
          <w:rFonts w:hint="eastAsia" w:ascii="宋体" w:hAnsi="宋体" w:cs="宋体"/>
          <w:color w:val="auto"/>
          <w:sz w:val="30"/>
          <w:szCs w:val="30"/>
          <w:highlight w:val="none"/>
          <w:u w:val="single"/>
        </w:rPr>
        <w:t>山东颐养健康集团肥城医院</w:t>
      </w:r>
    </w:p>
    <w:p>
      <w:pPr>
        <w:ind w:firstLine="1500" w:firstLineChars="500"/>
        <w:rPr>
          <w:rFonts w:ascii="宋体" w:hAnsi="宋体" w:cs="宋体"/>
          <w:color w:val="auto"/>
          <w:sz w:val="30"/>
          <w:szCs w:val="30"/>
          <w:highlight w:val="none"/>
          <w:u w:val="single"/>
        </w:rPr>
      </w:pPr>
      <w:r>
        <w:rPr>
          <w:rFonts w:hint="eastAsia" w:ascii="宋体" w:hAnsi="宋体" w:cs="宋体"/>
          <w:color w:val="auto"/>
          <w:sz w:val="30"/>
          <w:szCs w:val="30"/>
          <w:highlight w:val="none"/>
        </w:rPr>
        <w:t>招标代理机构：</w:t>
      </w:r>
      <w:r>
        <w:rPr>
          <w:rFonts w:hint="eastAsia" w:ascii="宋体" w:hAnsi="宋体" w:cs="宋体"/>
          <w:color w:val="auto"/>
          <w:sz w:val="30"/>
          <w:szCs w:val="30"/>
          <w:highlight w:val="none"/>
          <w:u w:val="single"/>
        </w:rPr>
        <w:t>山东华能建设项目管理有限公司</w:t>
      </w:r>
    </w:p>
    <w:p>
      <w:pPr>
        <w:jc w:val="center"/>
        <w:rPr>
          <w:color w:val="auto"/>
          <w:highlight w:val="none"/>
        </w:rPr>
        <w:sectPr>
          <w:pgSz w:w="11906" w:h="16838"/>
          <w:pgMar w:top="1440" w:right="1800" w:bottom="1440" w:left="1800" w:header="851" w:footer="992" w:gutter="0"/>
          <w:pgNumType w:start="1"/>
          <w:cols w:space="720" w:num="1"/>
          <w:docGrid w:type="lines" w:linePitch="312" w:charSpace="0"/>
        </w:sectPr>
      </w:pPr>
      <w:r>
        <w:rPr>
          <w:rFonts w:hint="eastAsia" w:ascii="宋体" w:hAnsi="宋体" w:cs="宋体"/>
          <w:color w:val="auto"/>
          <w:sz w:val="30"/>
          <w:szCs w:val="30"/>
          <w:highlight w:val="none"/>
          <w:u w:val="single"/>
        </w:rPr>
        <w:t>二〇二三</w:t>
      </w:r>
      <w:r>
        <w:rPr>
          <w:rFonts w:hint="eastAsia" w:ascii="宋体" w:hAnsi="宋体" w:cs="宋体"/>
          <w:color w:val="auto"/>
          <w:sz w:val="30"/>
          <w:szCs w:val="30"/>
          <w:highlight w:val="none"/>
        </w:rPr>
        <w:t>年十月</w:t>
      </w:r>
      <w:bookmarkStart w:id="0" w:name="_Toc247085669"/>
      <w:bookmarkStart w:id="1" w:name="_Toc296602400"/>
      <w:bookmarkStart w:id="2" w:name="_Toc246996898"/>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bookmarkEnd w:id="0"/>
      <w:bookmarkEnd w:id="1"/>
      <w:bookmarkEnd w:id="2"/>
    </w:p>
    <w:p>
      <w:pPr>
        <w:pStyle w:val="17"/>
        <w:rPr>
          <w:color w:val="auto"/>
          <w:highlight w:val="none"/>
        </w:rPr>
      </w:pPr>
    </w:p>
    <w:p>
      <w:pPr>
        <w:rPr>
          <w:color w:val="auto"/>
          <w:highlight w:val="none"/>
        </w:rPr>
      </w:pPr>
    </w:p>
    <w:p>
      <w:pPr>
        <w:pStyle w:val="28"/>
        <w:tabs>
          <w:tab w:val="right" w:leader="dot" w:pos="8296"/>
        </w:tabs>
        <w:rPr>
          <w:rFonts w:asciiTheme="minorHAnsi" w:hAnsiTheme="minorHAnsi" w:eastAsiaTheme="minorEastAsia" w:cstheme="minorBidi"/>
          <w:b w:val="0"/>
          <w:bCs w:val="0"/>
          <w:caps w:val="0"/>
          <w:color w:val="auto"/>
          <w:sz w:val="21"/>
          <w:szCs w:val="22"/>
          <w:highlight w:val="none"/>
        </w:rPr>
      </w:pPr>
      <w:bookmarkStart w:id="3" w:name="_Toc247085670"/>
      <w:bookmarkStart w:id="4" w:name="_Toc246996156"/>
      <w:bookmarkStart w:id="5" w:name="_Toc246996899"/>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\h \z \u </w:instrText>
      </w:r>
      <w:r>
        <w:rPr>
          <w:rFonts w:hint="eastAsia" w:ascii="宋体" w:hAnsi="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"_Toc147994690" </w:instrText>
      </w:r>
      <w:r>
        <w:rPr>
          <w:color w:val="auto"/>
          <w:highlight w:val="none"/>
        </w:rPr>
        <w:fldChar w:fldCharType="separate"/>
      </w:r>
      <w:r>
        <w:rPr>
          <w:rStyle w:val="45"/>
          <w:rFonts w:ascii="宋体" w:hAnsi="宋体" w:cs="宋体"/>
          <w:color w:val="auto"/>
          <w:highlight w:val="none"/>
        </w:rPr>
        <w:t>第一章 报价人须知</w:t>
      </w:r>
      <w:r>
        <w:rPr>
          <w:color w:val="auto"/>
          <w:highlight w:val="none"/>
        </w:rPr>
        <w:tab/>
      </w:r>
      <w:r>
        <w:rPr>
          <w:color w:val="auto"/>
          <w:highlight w:val="none"/>
        </w:rPr>
        <w:fldChar w:fldCharType="begin"/>
      </w:r>
      <w:r>
        <w:rPr>
          <w:color w:val="auto"/>
          <w:highlight w:val="none"/>
        </w:rPr>
        <w:instrText xml:space="preserve"> PAGEREF _Toc147994690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"_Toc147994691" </w:instrText>
      </w:r>
      <w:r>
        <w:rPr>
          <w:color w:val="auto"/>
          <w:highlight w:val="none"/>
        </w:rPr>
        <w:fldChar w:fldCharType="separate"/>
      </w:r>
      <w:r>
        <w:rPr>
          <w:rStyle w:val="45"/>
          <w:rFonts w:ascii="宋体" w:hAnsi="宋体" w:cs="宋体"/>
          <w:color w:val="auto"/>
          <w:highlight w:val="none"/>
        </w:rPr>
        <w:t>报价人须知前附表</w:t>
      </w:r>
      <w:r>
        <w:rPr>
          <w:color w:val="auto"/>
          <w:highlight w:val="none"/>
        </w:rPr>
        <w:tab/>
      </w:r>
      <w:r>
        <w:rPr>
          <w:color w:val="auto"/>
          <w:highlight w:val="none"/>
        </w:rPr>
        <w:fldChar w:fldCharType="begin"/>
      </w:r>
      <w:r>
        <w:rPr>
          <w:color w:val="auto"/>
          <w:highlight w:val="none"/>
        </w:rPr>
        <w:instrText xml:space="preserve"> PAGEREF _Toc147994691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"_Toc147994692" </w:instrText>
      </w:r>
      <w:r>
        <w:rPr>
          <w:color w:val="auto"/>
          <w:highlight w:val="none"/>
        </w:rPr>
        <w:fldChar w:fldCharType="separate"/>
      </w:r>
      <w:r>
        <w:rPr>
          <w:rStyle w:val="45"/>
          <w:rFonts w:ascii="宋体" w:hAnsi="宋体" w:cs="宋体"/>
          <w:b/>
          <w:bCs/>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_Toc147994692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"_Toc147994693" </w:instrText>
      </w:r>
      <w:r>
        <w:rPr>
          <w:color w:val="auto"/>
          <w:highlight w:val="none"/>
        </w:rPr>
        <w:fldChar w:fldCharType="separate"/>
      </w:r>
      <w:r>
        <w:rPr>
          <w:rStyle w:val="45"/>
          <w:rFonts w:ascii="宋体" w:hAnsi="宋体" w:cs="宋体"/>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_Toc147994693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"_Toc147994694" </w:instrText>
      </w:r>
      <w:r>
        <w:rPr>
          <w:color w:val="auto"/>
          <w:highlight w:val="none"/>
        </w:rPr>
        <w:fldChar w:fldCharType="separate"/>
      </w:r>
      <w:r>
        <w:rPr>
          <w:rStyle w:val="45"/>
          <w:rFonts w:ascii="宋体" w:hAnsi="宋体" w:cs="宋体"/>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_Toc147994694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"_Toc147994695" </w:instrText>
      </w:r>
      <w:r>
        <w:rPr>
          <w:color w:val="auto"/>
          <w:highlight w:val="none"/>
        </w:rPr>
        <w:fldChar w:fldCharType="separate"/>
      </w:r>
      <w:r>
        <w:rPr>
          <w:rStyle w:val="45"/>
          <w:rFonts w:ascii="宋体" w:hAnsi="宋体" w:cs="宋体"/>
          <w:color w:val="auto"/>
          <w:highlight w:val="none"/>
        </w:rPr>
        <w:t>1.3 采购范围、计划工期、质量要求</w:t>
      </w:r>
      <w:r>
        <w:rPr>
          <w:color w:val="auto"/>
          <w:highlight w:val="none"/>
        </w:rPr>
        <w:tab/>
      </w:r>
      <w:r>
        <w:rPr>
          <w:color w:val="auto"/>
          <w:highlight w:val="none"/>
        </w:rPr>
        <w:fldChar w:fldCharType="begin"/>
      </w:r>
      <w:r>
        <w:rPr>
          <w:color w:val="auto"/>
          <w:highlight w:val="none"/>
        </w:rPr>
        <w:instrText xml:space="preserve"> PAGEREF _Toc147994695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"_Toc147994696" </w:instrText>
      </w:r>
      <w:r>
        <w:rPr>
          <w:color w:val="auto"/>
          <w:highlight w:val="none"/>
        </w:rPr>
        <w:fldChar w:fldCharType="separate"/>
      </w:r>
      <w:r>
        <w:rPr>
          <w:rStyle w:val="45"/>
          <w:rFonts w:ascii="宋体" w:hAnsi="宋体" w:cs="宋体"/>
          <w:color w:val="auto"/>
          <w:highlight w:val="none"/>
        </w:rPr>
        <w:t>1.4 报价人资格要求</w:t>
      </w:r>
      <w:r>
        <w:rPr>
          <w:color w:val="auto"/>
          <w:highlight w:val="none"/>
        </w:rPr>
        <w:tab/>
      </w:r>
      <w:r>
        <w:rPr>
          <w:color w:val="auto"/>
          <w:highlight w:val="none"/>
        </w:rPr>
        <w:fldChar w:fldCharType="begin"/>
      </w:r>
      <w:r>
        <w:rPr>
          <w:color w:val="auto"/>
          <w:highlight w:val="none"/>
        </w:rPr>
        <w:instrText xml:space="preserve"> PAGEREF _Toc147994696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"_Toc147994697" </w:instrText>
      </w:r>
      <w:r>
        <w:rPr>
          <w:color w:val="auto"/>
          <w:highlight w:val="none"/>
        </w:rPr>
        <w:fldChar w:fldCharType="separate"/>
      </w:r>
      <w:r>
        <w:rPr>
          <w:rStyle w:val="45"/>
          <w:rFonts w:ascii="宋体" w:hAnsi="宋体" w:cs="宋体"/>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_Toc147994697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"_Toc147994698" </w:instrText>
      </w:r>
      <w:r>
        <w:rPr>
          <w:color w:val="auto"/>
          <w:highlight w:val="none"/>
        </w:rPr>
        <w:fldChar w:fldCharType="separate"/>
      </w:r>
      <w:r>
        <w:rPr>
          <w:rStyle w:val="45"/>
          <w:rFonts w:ascii="宋体" w:hAnsi="宋体" w:cs="宋体"/>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_Toc147994698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"_Toc147994699" </w:instrText>
      </w:r>
      <w:r>
        <w:rPr>
          <w:color w:val="auto"/>
          <w:highlight w:val="none"/>
        </w:rPr>
        <w:fldChar w:fldCharType="separate"/>
      </w:r>
      <w:r>
        <w:rPr>
          <w:rStyle w:val="45"/>
          <w:rFonts w:ascii="宋体" w:hAnsi="宋体" w:cs="宋体"/>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_Toc147994699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"_Toc147994700" </w:instrText>
      </w:r>
      <w:r>
        <w:rPr>
          <w:color w:val="auto"/>
          <w:highlight w:val="none"/>
        </w:rPr>
        <w:fldChar w:fldCharType="separate"/>
      </w:r>
      <w:r>
        <w:rPr>
          <w:rStyle w:val="45"/>
          <w:rFonts w:ascii="宋体" w:hAnsi="宋体" w:cs="宋体"/>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_Toc147994700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"_Toc147994701" </w:instrText>
      </w:r>
      <w:r>
        <w:rPr>
          <w:color w:val="auto"/>
          <w:highlight w:val="none"/>
        </w:rPr>
        <w:fldChar w:fldCharType="separate"/>
      </w:r>
      <w:r>
        <w:rPr>
          <w:rStyle w:val="45"/>
          <w:rFonts w:ascii="宋体" w:hAnsi="宋体" w:cs="宋体"/>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_Toc147994701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"_Toc147994702" </w:instrText>
      </w:r>
      <w:r>
        <w:rPr>
          <w:color w:val="auto"/>
          <w:highlight w:val="none"/>
        </w:rPr>
        <w:fldChar w:fldCharType="separate"/>
      </w:r>
      <w:r>
        <w:rPr>
          <w:rStyle w:val="45"/>
          <w:rFonts w:ascii="宋体" w:hAnsi="宋体" w:cs="宋体"/>
          <w:color w:val="auto"/>
          <w:highlight w:val="none"/>
        </w:rPr>
        <w:t>1.10 偏离</w:t>
      </w:r>
      <w:r>
        <w:rPr>
          <w:color w:val="auto"/>
          <w:highlight w:val="none"/>
        </w:rPr>
        <w:tab/>
      </w:r>
      <w:r>
        <w:rPr>
          <w:color w:val="auto"/>
          <w:highlight w:val="none"/>
        </w:rPr>
        <w:fldChar w:fldCharType="begin"/>
      </w:r>
      <w:r>
        <w:rPr>
          <w:color w:val="auto"/>
          <w:highlight w:val="none"/>
        </w:rPr>
        <w:instrText xml:space="preserve"> PAGEREF _Toc147994702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"_Toc147994703" </w:instrText>
      </w:r>
      <w:r>
        <w:rPr>
          <w:color w:val="auto"/>
          <w:highlight w:val="none"/>
        </w:rPr>
        <w:fldChar w:fldCharType="separate"/>
      </w:r>
      <w:r>
        <w:rPr>
          <w:rStyle w:val="45"/>
          <w:rFonts w:ascii="宋体" w:hAnsi="宋体" w:cs="宋体"/>
          <w:color w:val="auto"/>
          <w:highlight w:val="none"/>
        </w:rPr>
        <w:t>2. 竞争性谈判文件</w:t>
      </w:r>
      <w:r>
        <w:rPr>
          <w:color w:val="auto"/>
          <w:highlight w:val="none"/>
        </w:rPr>
        <w:tab/>
      </w:r>
      <w:r>
        <w:rPr>
          <w:color w:val="auto"/>
          <w:highlight w:val="none"/>
        </w:rPr>
        <w:fldChar w:fldCharType="begin"/>
      </w:r>
      <w:r>
        <w:rPr>
          <w:color w:val="auto"/>
          <w:highlight w:val="none"/>
        </w:rPr>
        <w:instrText xml:space="preserve"> PAGEREF _Toc147994703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"_Toc147994704" </w:instrText>
      </w:r>
      <w:r>
        <w:rPr>
          <w:color w:val="auto"/>
          <w:highlight w:val="none"/>
        </w:rPr>
        <w:fldChar w:fldCharType="separate"/>
      </w:r>
      <w:r>
        <w:rPr>
          <w:rStyle w:val="45"/>
          <w:rFonts w:ascii="宋体" w:hAnsi="宋体" w:cs="宋体"/>
          <w:color w:val="auto"/>
          <w:highlight w:val="none"/>
        </w:rPr>
        <w:t>2.1 竞争性谈判文件的组成</w:t>
      </w:r>
      <w:r>
        <w:rPr>
          <w:color w:val="auto"/>
          <w:highlight w:val="none"/>
        </w:rPr>
        <w:tab/>
      </w:r>
      <w:r>
        <w:rPr>
          <w:color w:val="auto"/>
          <w:highlight w:val="none"/>
        </w:rPr>
        <w:fldChar w:fldCharType="begin"/>
      </w:r>
      <w:r>
        <w:rPr>
          <w:color w:val="auto"/>
          <w:highlight w:val="none"/>
        </w:rPr>
        <w:instrText xml:space="preserve"> PAGEREF _Toc147994704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"_Toc147994705" </w:instrText>
      </w:r>
      <w:r>
        <w:rPr>
          <w:color w:val="auto"/>
          <w:highlight w:val="none"/>
        </w:rPr>
        <w:fldChar w:fldCharType="separate"/>
      </w:r>
      <w:r>
        <w:rPr>
          <w:rStyle w:val="45"/>
          <w:rFonts w:ascii="宋体" w:hAnsi="宋体" w:cs="宋体"/>
          <w:color w:val="auto"/>
          <w:highlight w:val="none"/>
        </w:rPr>
        <w:t>2.2 竞争性谈判文件的澄清</w:t>
      </w:r>
      <w:r>
        <w:rPr>
          <w:color w:val="auto"/>
          <w:highlight w:val="none"/>
        </w:rPr>
        <w:tab/>
      </w:r>
      <w:r>
        <w:rPr>
          <w:color w:val="auto"/>
          <w:highlight w:val="none"/>
        </w:rPr>
        <w:fldChar w:fldCharType="begin"/>
      </w:r>
      <w:r>
        <w:rPr>
          <w:color w:val="auto"/>
          <w:highlight w:val="none"/>
        </w:rPr>
        <w:instrText xml:space="preserve"> PAGEREF _Toc147994705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"_Toc147994706" </w:instrText>
      </w:r>
      <w:r>
        <w:rPr>
          <w:color w:val="auto"/>
          <w:highlight w:val="none"/>
        </w:rPr>
        <w:fldChar w:fldCharType="separate"/>
      </w:r>
      <w:r>
        <w:rPr>
          <w:rStyle w:val="45"/>
          <w:rFonts w:ascii="宋体" w:hAnsi="宋体" w:cs="宋体"/>
          <w:color w:val="auto"/>
          <w:highlight w:val="none"/>
        </w:rPr>
        <w:t>2.3 竞争性谈判文件的修改</w:t>
      </w:r>
      <w:r>
        <w:rPr>
          <w:color w:val="auto"/>
          <w:highlight w:val="none"/>
        </w:rPr>
        <w:tab/>
      </w:r>
      <w:r>
        <w:rPr>
          <w:color w:val="auto"/>
          <w:highlight w:val="none"/>
        </w:rPr>
        <w:fldChar w:fldCharType="begin"/>
      </w:r>
      <w:r>
        <w:rPr>
          <w:color w:val="auto"/>
          <w:highlight w:val="none"/>
        </w:rPr>
        <w:instrText xml:space="preserve"> PAGEREF _Toc147994706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"_Toc147994707" </w:instrText>
      </w:r>
      <w:r>
        <w:rPr>
          <w:color w:val="auto"/>
          <w:highlight w:val="none"/>
        </w:rPr>
        <w:fldChar w:fldCharType="separate"/>
      </w:r>
      <w:r>
        <w:rPr>
          <w:rStyle w:val="45"/>
          <w:rFonts w:ascii="宋体" w:hAnsi="宋体" w:cs="宋体"/>
          <w:color w:val="auto"/>
          <w:highlight w:val="none"/>
        </w:rPr>
        <w:t>3. 报价文件</w:t>
      </w:r>
      <w:r>
        <w:rPr>
          <w:color w:val="auto"/>
          <w:highlight w:val="none"/>
        </w:rPr>
        <w:tab/>
      </w:r>
      <w:r>
        <w:rPr>
          <w:color w:val="auto"/>
          <w:highlight w:val="none"/>
        </w:rPr>
        <w:fldChar w:fldCharType="begin"/>
      </w:r>
      <w:r>
        <w:rPr>
          <w:color w:val="auto"/>
          <w:highlight w:val="none"/>
        </w:rPr>
        <w:instrText xml:space="preserve"> PAGEREF _Toc147994707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"_Toc147994708" </w:instrText>
      </w:r>
      <w:r>
        <w:rPr>
          <w:color w:val="auto"/>
          <w:highlight w:val="none"/>
        </w:rPr>
        <w:fldChar w:fldCharType="separate"/>
      </w:r>
      <w:r>
        <w:rPr>
          <w:rStyle w:val="45"/>
          <w:rFonts w:ascii="宋体" w:hAnsi="宋体" w:cs="宋体"/>
          <w:color w:val="auto"/>
          <w:highlight w:val="none"/>
        </w:rPr>
        <w:t>3.1 报价文件的组成</w:t>
      </w:r>
      <w:r>
        <w:rPr>
          <w:color w:val="auto"/>
          <w:highlight w:val="none"/>
        </w:rPr>
        <w:tab/>
      </w:r>
      <w:r>
        <w:rPr>
          <w:color w:val="auto"/>
          <w:highlight w:val="none"/>
        </w:rPr>
        <w:fldChar w:fldCharType="begin"/>
      </w:r>
      <w:r>
        <w:rPr>
          <w:color w:val="auto"/>
          <w:highlight w:val="none"/>
        </w:rPr>
        <w:instrText xml:space="preserve"> PAGEREF _Toc147994708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"_Toc147994709" </w:instrText>
      </w:r>
      <w:r>
        <w:rPr>
          <w:color w:val="auto"/>
          <w:highlight w:val="none"/>
        </w:rPr>
        <w:fldChar w:fldCharType="separate"/>
      </w:r>
      <w:r>
        <w:rPr>
          <w:rStyle w:val="45"/>
          <w:rFonts w:ascii="宋体" w:hAnsi="宋体" w:cs="宋体"/>
          <w:color w:val="auto"/>
          <w:highlight w:val="none"/>
        </w:rPr>
        <w:t>3.2 谈判报价</w:t>
      </w:r>
      <w:r>
        <w:rPr>
          <w:color w:val="auto"/>
          <w:highlight w:val="none"/>
        </w:rPr>
        <w:tab/>
      </w:r>
      <w:r>
        <w:rPr>
          <w:color w:val="auto"/>
          <w:highlight w:val="none"/>
        </w:rPr>
        <w:fldChar w:fldCharType="begin"/>
      </w:r>
      <w:r>
        <w:rPr>
          <w:color w:val="auto"/>
          <w:highlight w:val="none"/>
        </w:rPr>
        <w:instrText xml:space="preserve"> PAGEREF _Toc147994709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"_Toc147994710" </w:instrText>
      </w:r>
      <w:r>
        <w:rPr>
          <w:color w:val="auto"/>
          <w:highlight w:val="none"/>
        </w:rPr>
        <w:fldChar w:fldCharType="separate"/>
      </w:r>
      <w:r>
        <w:rPr>
          <w:rStyle w:val="45"/>
          <w:rFonts w:ascii="宋体" w:hAnsi="宋体" w:cs="宋体"/>
          <w:color w:val="auto"/>
          <w:highlight w:val="none"/>
        </w:rPr>
        <w:t>3.3 谈判有效期</w:t>
      </w:r>
      <w:r>
        <w:rPr>
          <w:color w:val="auto"/>
          <w:highlight w:val="none"/>
        </w:rPr>
        <w:tab/>
      </w:r>
      <w:r>
        <w:rPr>
          <w:color w:val="auto"/>
          <w:highlight w:val="none"/>
        </w:rPr>
        <w:fldChar w:fldCharType="begin"/>
      </w:r>
      <w:r>
        <w:rPr>
          <w:color w:val="auto"/>
          <w:highlight w:val="none"/>
        </w:rPr>
        <w:instrText xml:space="preserve"> PAGEREF _Toc147994710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"_Toc147994711" </w:instrText>
      </w:r>
      <w:r>
        <w:rPr>
          <w:color w:val="auto"/>
          <w:highlight w:val="none"/>
        </w:rPr>
        <w:fldChar w:fldCharType="separate"/>
      </w:r>
      <w:r>
        <w:rPr>
          <w:rStyle w:val="45"/>
          <w:rFonts w:ascii="宋体" w:hAnsi="宋体" w:cs="宋体"/>
          <w:color w:val="auto"/>
          <w:highlight w:val="none"/>
        </w:rPr>
        <w:t>3.4 谈判保证金</w:t>
      </w:r>
      <w:r>
        <w:rPr>
          <w:color w:val="auto"/>
          <w:highlight w:val="none"/>
        </w:rPr>
        <w:tab/>
      </w:r>
      <w:r>
        <w:rPr>
          <w:color w:val="auto"/>
          <w:highlight w:val="none"/>
        </w:rPr>
        <w:fldChar w:fldCharType="begin"/>
      </w:r>
      <w:r>
        <w:rPr>
          <w:color w:val="auto"/>
          <w:highlight w:val="none"/>
        </w:rPr>
        <w:instrText xml:space="preserve"> PAGEREF _Toc147994711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"_Toc147994712" </w:instrText>
      </w:r>
      <w:r>
        <w:rPr>
          <w:color w:val="auto"/>
          <w:highlight w:val="none"/>
        </w:rPr>
        <w:fldChar w:fldCharType="separate"/>
      </w:r>
      <w:r>
        <w:rPr>
          <w:rStyle w:val="45"/>
          <w:rFonts w:ascii="宋体" w:hAnsi="宋体" w:cs="宋体"/>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_Toc147994712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"_Toc147994713" </w:instrText>
      </w:r>
      <w:r>
        <w:rPr>
          <w:color w:val="auto"/>
          <w:highlight w:val="none"/>
        </w:rPr>
        <w:fldChar w:fldCharType="separate"/>
      </w:r>
      <w:r>
        <w:rPr>
          <w:rStyle w:val="45"/>
          <w:rFonts w:ascii="宋体" w:hAnsi="宋体" w:cs="宋体"/>
          <w:color w:val="auto"/>
          <w:highlight w:val="none"/>
        </w:rPr>
        <w:t>3.6报价文件的编制</w:t>
      </w:r>
      <w:r>
        <w:rPr>
          <w:color w:val="auto"/>
          <w:highlight w:val="none"/>
        </w:rPr>
        <w:tab/>
      </w:r>
      <w:r>
        <w:rPr>
          <w:color w:val="auto"/>
          <w:highlight w:val="none"/>
        </w:rPr>
        <w:fldChar w:fldCharType="begin"/>
      </w:r>
      <w:r>
        <w:rPr>
          <w:color w:val="auto"/>
          <w:highlight w:val="none"/>
        </w:rPr>
        <w:instrText xml:space="preserve"> PAGEREF _Toc147994713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"_Toc147994714" </w:instrText>
      </w:r>
      <w:r>
        <w:rPr>
          <w:color w:val="auto"/>
          <w:highlight w:val="none"/>
        </w:rPr>
        <w:fldChar w:fldCharType="separate"/>
      </w:r>
      <w:r>
        <w:rPr>
          <w:rStyle w:val="45"/>
          <w:rFonts w:ascii="宋体" w:hAnsi="宋体" w:cs="宋体"/>
          <w:color w:val="auto"/>
          <w:highlight w:val="none"/>
        </w:rPr>
        <w:t>4. 提交报价文件</w:t>
      </w:r>
      <w:r>
        <w:rPr>
          <w:color w:val="auto"/>
          <w:highlight w:val="none"/>
        </w:rPr>
        <w:tab/>
      </w:r>
      <w:r>
        <w:rPr>
          <w:color w:val="auto"/>
          <w:highlight w:val="none"/>
        </w:rPr>
        <w:fldChar w:fldCharType="begin"/>
      </w:r>
      <w:r>
        <w:rPr>
          <w:color w:val="auto"/>
          <w:highlight w:val="none"/>
        </w:rPr>
        <w:instrText xml:space="preserve"> PAGEREF _Toc147994714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"_Toc147994715" </w:instrText>
      </w:r>
      <w:r>
        <w:rPr>
          <w:color w:val="auto"/>
          <w:highlight w:val="none"/>
        </w:rPr>
        <w:fldChar w:fldCharType="separate"/>
      </w:r>
      <w:r>
        <w:rPr>
          <w:rStyle w:val="45"/>
          <w:rFonts w:ascii="宋体" w:hAnsi="宋体" w:cs="宋体"/>
          <w:color w:val="auto"/>
          <w:highlight w:val="none"/>
        </w:rPr>
        <w:t>4.1 报价文件的密封和标记</w:t>
      </w:r>
      <w:r>
        <w:rPr>
          <w:color w:val="auto"/>
          <w:highlight w:val="none"/>
        </w:rPr>
        <w:tab/>
      </w:r>
      <w:r>
        <w:rPr>
          <w:color w:val="auto"/>
          <w:highlight w:val="none"/>
        </w:rPr>
        <w:fldChar w:fldCharType="begin"/>
      </w:r>
      <w:r>
        <w:rPr>
          <w:color w:val="auto"/>
          <w:highlight w:val="none"/>
        </w:rPr>
        <w:instrText xml:space="preserve"> PAGEREF _Toc147994715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"_Toc147994716" </w:instrText>
      </w:r>
      <w:r>
        <w:rPr>
          <w:color w:val="auto"/>
          <w:highlight w:val="none"/>
        </w:rPr>
        <w:fldChar w:fldCharType="separate"/>
      </w:r>
      <w:r>
        <w:rPr>
          <w:rStyle w:val="45"/>
          <w:rFonts w:ascii="宋体" w:hAnsi="宋体" w:cs="宋体"/>
          <w:color w:val="auto"/>
          <w:highlight w:val="none"/>
        </w:rPr>
        <w:t>4.2 报价文件的递交</w:t>
      </w:r>
      <w:r>
        <w:rPr>
          <w:color w:val="auto"/>
          <w:highlight w:val="none"/>
        </w:rPr>
        <w:tab/>
      </w:r>
      <w:r>
        <w:rPr>
          <w:color w:val="auto"/>
          <w:highlight w:val="none"/>
        </w:rPr>
        <w:fldChar w:fldCharType="begin"/>
      </w:r>
      <w:r>
        <w:rPr>
          <w:color w:val="auto"/>
          <w:highlight w:val="none"/>
        </w:rPr>
        <w:instrText xml:space="preserve"> PAGEREF _Toc147994716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"_Toc147994717" </w:instrText>
      </w:r>
      <w:r>
        <w:rPr>
          <w:color w:val="auto"/>
          <w:highlight w:val="none"/>
        </w:rPr>
        <w:fldChar w:fldCharType="separate"/>
      </w:r>
      <w:r>
        <w:rPr>
          <w:rStyle w:val="45"/>
          <w:rFonts w:ascii="宋体" w:hAnsi="宋体" w:cs="宋体"/>
          <w:color w:val="auto"/>
          <w:highlight w:val="none"/>
        </w:rPr>
        <w:t>4.3 报价文件的修改与撤回</w:t>
      </w:r>
      <w:r>
        <w:rPr>
          <w:color w:val="auto"/>
          <w:highlight w:val="none"/>
        </w:rPr>
        <w:tab/>
      </w:r>
      <w:r>
        <w:rPr>
          <w:color w:val="auto"/>
          <w:highlight w:val="none"/>
        </w:rPr>
        <w:fldChar w:fldCharType="begin"/>
      </w:r>
      <w:r>
        <w:rPr>
          <w:color w:val="auto"/>
          <w:highlight w:val="none"/>
        </w:rPr>
        <w:instrText xml:space="preserve"> PAGEREF _Toc147994717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"_Toc147994718" </w:instrText>
      </w:r>
      <w:r>
        <w:rPr>
          <w:color w:val="auto"/>
          <w:highlight w:val="none"/>
        </w:rPr>
        <w:fldChar w:fldCharType="separate"/>
      </w:r>
      <w:r>
        <w:rPr>
          <w:rStyle w:val="45"/>
          <w:rFonts w:ascii="宋体" w:hAnsi="宋体" w:cs="宋体"/>
          <w:color w:val="auto"/>
          <w:highlight w:val="none"/>
        </w:rPr>
        <w:t>5. 竞争性谈判会议仪式</w:t>
      </w:r>
      <w:r>
        <w:rPr>
          <w:color w:val="auto"/>
          <w:highlight w:val="none"/>
        </w:rPr>
        <w:tab/>
      </w:r>
      <w:r>
        <w:rPr>
          <w:color w:val="auto"/>
          <w:highlight w:val="none"/>
        </w:rPr>
        <w:fldChar w:fldCharType="begin"/>
      </w:r>
      <w:r>
        <w:rPr>
          <w:color w:val="auto"/>
          <w:highlight w:val="none"/>
        </w:rPr>
        <w:instrText xml:space="preserve"> PAGEREF _Toc147994718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"_Toc147994719" </w:instrText>
      </w:r>
      <w:r>
        <w:rPr>
          <w:color w:val="auto"/>
          <w:highlight w:val="none"/>
        </w:rPr>
        <w:fldChar w:fldCharType="separate"/>
      </w:r>
      <w:r>
        <w:rPr>
          <w:rStyle w:val="45"/>
          <w:rFonts w:ascii="宋体" w:hAnsi="宋体" w:cs="宋体"/>
          <w:color w:val="auto"/>
          <w:highlight w:val="none"/>
        </w:rPr>
        <w:t>5.1 竞争性谈判会议仪式开始时间和地点</w:t>
      </w:r>
      <w:r>
        <w:rPr>
          <w:color w:val="auto"/>
          <w:highlight w:val="none"/>
        </w:rPr>
        <w:tab/>
      </w:r>
      <w:r>
        <w:rPr>
          <w:color w:val="auto"/>
          <w:highlight w:val="none"/>
        </w:rPr>
        <w:fldChar w:fldCharType="begin"/>
      </w:r>
      <w:r>
        <w:rPr>
          <w:color w:val="auto"/>
          <w:highlight w:val="none"/>
        </w:rPr>
        <w:instrText xml:space="preserve"> PAGEREF _Toc147994719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"_Toc147994720" </w:instrText>
      </w:r>
      <w:r>
        <w:rPr>
          <w:color w:val="auto"/>
          <w:highlight w:val="none"/>
        </w:rPr>
        <w:fldChar w:fldCharType="separate"/>
      </w:r>
      <w:r>
        <w:rPr>
          <w:rStyle w:val="45"/>
          <w:rFonts w:ascii="宋体" w:hAnsi="宋体" w:cs="宋体"/>
          <w:color w:val="auto"/>
          <w:highlight w:val="none"/>
        </w:rPr>
        <w:t>5.2 谈判会议仪式程序</w:t>
      </w:r>
      <w:r>
        <w:rPr>
          <w:color w:val="auto"/>
          <w:highlight w:val="none"/>
        </w:rPr>
        <w:tab/>
      </w:r>
      <w:r>
        <w:rPr>
          <w:color w:val="auto"/>
          <w:highlight w:val="none"/>
        </w:rPr>
        <w:fldChar w:fldCharType="begin"/>
      </w:r>
      <w:r>
        <w:rPr>
          <w:color w:val="auto"/>
          <w:highlight w:val="none"/>
        </w:rPr>
        <w:instrText xml:space="preserve"> PAGEREF _Toc147994720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"_Toc147994721" </w:instrText>
      </w:r>
      <w:r>
        <w:rPr>
          <w:color w:val="auto"/>
          <w:highlight w:val="none"/>
        </w:rPr>
        <w:fldChar w:fldCharType="separate"/>
      </w:r>
      <w:r>
        <w:rPr>
          <w:rStyle w:val="45"/>
          <w:rFonts w:ascii="宋体" w:hAnsi="宋体" w:cs="宋体"/>
          <w:color w:val="auto"/>
          <w:highlight w:val="none"/>
        </w:rPr>
        <w:t>5.3 竞争性谈判会议仪式异议</w:t>
      </w:r>
      <w:r>
        <w:rPr>
          <w:color w:val="auto"/>
          <w:highlight w:val="none"/>
        </w:rPr>
        <w:tab/>
      </w:r>
      <w:r>
        <w:rPr>
          <w:color w:val="auto"/>
          <w:highlight w:val="none"/>
        </w:rPr>
        <w:fldChar w:fldCharType="begin"/>
      </w:r>
      <w:r>
        <w:rPr>
          <w:color w:val="auto"/>
          <w:highlight w:val="none"/>
        </w:rPr>
        <w:instrText xml:space="preserve"> PAGEREF _Toc147994721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"_Toc147994722" </w:instrText>
      </w:r>
      <w:r>
        <w:rPr>
          <w:color w:val="auto"/>
          <w:highlight w:val="none"/>
        </w:rPr>
        <w:fldChar w:fldCharType="separate"/>
      </w:r>
      <w:r>
        <w:rPr>
          <w:rStyle w:val="45"/>
          <w:rFonts w:ascii="宋体" w:hAnsi="宋体" w:cs="宋体"/>
          <w:color w:val="auto"/>
          <w:highlight w:val="none"/>
        </w:rPr>
        <w:t>6. 评审</w:t>
      </w:r>
      <w:r>
        <w:rPr>
          <w:color w:val="auto"/>
          <w:highlight w:val="none"/>
        </w:rPr>
        <w:tab/>
      </w:r>
      <w:r>
        <w:rPr>
          <w:color w:val="auto"/>
          <w:highlight w:val="none"/>
        </w:rPr>
        <w:fldChar w:fldCharType="begin"/>
      </w:r>
      <w:r>
        <w:rPr>
          <w:color w:val="auto"/>
          <w:highlight w:val="none"/>
        </w:rPr>
        <w:instrText xml:space="preserve"> PAGEREF _Toc147994722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"_Toc147994723" </w:instrText>
      </w:r>
      <w:r>
        <w:rPr>
          <w:color w:val="auto"/>
          <w:highlight w:val="none"/>
        </w:rPr>
        <w:fldChar w:fldCharType="separate"/>
      </w:r>
      <w:r>
        <w:rPr>
          <w:rStyle w:val="45"/>
          <w:rFonts w:ascii="宋体" w:hAnsi="宋体" w:cs="宋体"/>
          <w:color w:val="auto"/>
          <w:highlight w:val="none"/>
        </w:rPr>
        <w:t>6.1 竞争性谈判小组</w:t>
      </w:r>
      <w:r>
        <w:rPr>
          <w:color w:val="auto"/>
          <w:highlight w:val="none"/>
        </w:rPr>
        <w:tab/>
      </w:r>
      <w:r>
        <w:rPr>
          <w:color w:val="auto"/>
          <w:highlight w:val="none"/>
        </w:rPr>
        <w:fldChar w:fldCharType="begin"/>
      </w:r>
      <w:r>
        <w:rPr>
          <w:color w:val="auto"/>
          <w:highlight w:val="none"/>
        </w:rPr>
        <w:instrText xml:space="preserve"> PAGEREF _Toc147994723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"_Toc147994724" </w:instrText>
      </w:r>
      <w:r>
        <w:rPr>
          <w:color w:val="auto"/>
          <w:highlight w:val="none"/>
        </w:rPr>
        <w:fldChar w:fldCharType="separate"/>
      </w:r>
      <w:r>
        <w:rPr>
          <w:rStyle w:val="45"/>
          <w:rFonts w:ascii="宋体" w:hAnsi="宋体" w:cs="宋体"/>
          <w:color w:val="auto"/>
          <w:highlight w:val="none"/>
        </w:rPr>
        <w:t>6.2 评审原则</w:t>
      </w:r>
      <w:r>
        <w:rPr>
          <w:color w:val="auto"/>
          <w:highlight w:val="none"/>
        </w:rPr>
        <w:tab/>
      </w:r>
      <w:r>
        <w:rPr>
          <w:color w:val="auto"/>
          <w:highlight w:val="none"/>
        </w:rPr>
        <w:fldChar w:fldCharType="begin"/>
      </w:r>
      <w:r>
        <w:rPr>
          <w:color w:val="auto"/>
          <w:highlight w:val="none"/>
        </w:rPr>
        <w:instrText xml:space="preserve"> PAGEREF _Toc147994724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"_Toc147994725" </w:instrText>
      </w:r>
      <w:r>
        <w:rPr>
          <w:color w:val="auto"/>
          <w:highlight w:val="none"/>
        </w:rPr>
        <w:fldChar w:fldCharType="separate"/>
      </w:r>
      <w:r>
        <w:rPr>
          <w:rStyle w:val="45"/>
          <w:rFonts w:ascii="宋体" w:hAnsi="宋体" w:cs="宋体"/>
          <w:color w:val="auto"/>
          <w:highlight w:val="none"/>
        </w:rPr>
        <w:t>6.3 评审</w:t>
      </w:r>
      <w:r>
        <w:rPr>
          <w:color w:val="auto"/>
          <w:highlight w:val="none"/>
        </w:rPr>
        <w:tab/>
      </w:r>
      <w:r>
        <w:rPr>
          <w:color w:val="auto"/>
          <w:highlight w:val="none"/>
        </w:rPr>
        <w:fldChar w:fldCharType="begin"/>
      </w:r>
      <w:r>
        <w:rPr>
          <w:color w:val="auto"/>
          <w:highlight w:val="none"/>
        </w:rPr>
        <w:instrText xml:space="preserve"> PAGEREF _Toc147994725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"_Toc147994726" </w:instrText>
      </w:r>
      <w:r>
        <w:rPr>
          <w:color w:val="auto"/>
          <w:highlight w:val="none"/>
        </w:rPr>
        <w:fldChar w:fldCharType="separate"/>
      </w:r>
      <w:r>
        <w:rPr>
          <w:rStyle w:val="45"/>
          <w:rFonts w:ascii="宋体" w:hAnsi="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_Toc147994726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"_Toc147994727" </w:instrText>
      </w:r>
      <w:r>
        <w:rPr>
          <w:color w:val="auto"/>
          <w:highlight w:val="none"/>
        </w:rPr>
        <w:fldChar w:fldCharType="separate"/>
      </w:r>
      <w:r>
        <w:rPr>
          <w:rStyle w:val="45"/>
          <w:rFonts w:ascii="宋体" w:hAnsi="宋体" w:cs="宋体"/>
          <w:color w:val="auto"/>
          <w:highlight w:val="none"/>
        </w:rPr>
        <w:t>7.1 确定成交报价人方式</w:t>
      </w:r>
      <w:r>
        <w:rPr>
          <w:color w:val="auto"/>
          <w:highlight w:val="none"/>
        </w:rPr>
        <w:tab/>
      </w:r>
      <w:r>
        <w:rPr>
          <w:color w:val="auto"/>
          <w:highlight w:val="none"/>
        </w:rPr>
        <w:fldChar w:fldCharType="begin"/>
      </w:r>
      <w:r>
        <w:rPr>
          <w:color w:val="auto"/>
          <w:highlight w:val="none"/>
        </w:rPr>
        <w:instrText xml:space="preserve"> PAGEREF _Toc147994727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"_Toc147994728" </w:instrText>
      </w:r>
      <w:r>
        <w:rPr>
          <w:color w:val="auto"/>
          <w:highlight w:val="none"/>
        </w:rPr>
        <w:fldChar w:fldCharType="separate"/>
      </w:r>
      <w:r>
        <w:rPr>
          <w:rStyle w:val="45"/>
          <w:rFonts w:ascii="宋体" w:hAnsi="宋体" w:cs="宋体"/>
          <w:color w:val="auto"/>
          <w:highlight w:val="none"/>
        </w:rPr>
        <w:t>7.2 成交结果通知</w:t>
      </w:r>
      <w:r>
        <w:rPr>
          <w:color w:val="auto"/>
          <w:highlight w:val="none"/>
        </w:rPr>
        <w:tab/>
      </w:r>
      <w:r>
        <w:rPr>
          <w:color w:val="auto"/>
          <w:highlight w:val="none"/>
        </w:rPr>
        <w:fldChar w:fldCharType="begin"/>
      </w:r>
      <w:r>
        <w:rPr>
          <w:color w:val="auto"/>
          <w:highlight w:val="none"/>
        </w:rPr>
        <w:instrText xml:space="preserve"> PAGEREF _Toc147994728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"_Toc147994729" </w:instrText>
      </w:r>
      <w:r>
        <w:rPr>
          <w:color w:val="auto"/>
          <w:highlight w:val="none"/>
        </w:rPr>
        <w:fldChar w:fldCharType="separate"/>
      </w:r>
      <w:r>
        <w:rPr>
          <w:rStyle w:val="45"/>
          <w:rFonts w:ascii="宋体" w:hAnsi="宋体" w:cs="宋体"/>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_Toc147994729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"_Toc147994730" </w:instrText>
      </w:r>
      <w:r>
        <w:rPr>
          <w:color w:val="auto"/>
          <w:highlight w:val="none"/>
        </w:rPr>
        <w:fldChar w:fldCharType="separate"/>
      </w:r>
      <w:r>
        <w:rPr>
          <w:rStyle w:val="45"/>
          <w:rFonts w:ascii="宋体" w:hAnsi="宋体" w:cs="宋体"/>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_Toc147994730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"_Toc147994731" </w:instrText>
      </w:r>
      <w:r>
        <w:rPr>
          <w:color w:val="auto"/>
          <w:highlight w:val="none"/>
        </w:rPr>
        <w:fldChar w:fldCharType="separate"/>
      </w:r>
      <w:r>
        <w:rPr>
          <w:rStyle w:val="45"/>
          <w:rFonts w:ascii="宋体" w:hAnsi="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_Toc147994731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"_Toc147994732" </w:instrText>
      </w:r>
      <w:r>
        <w:rPr>
          <w:color w:val="auto"/>
          <w:highlight w:val="none"/>
        </w:rPr>
        <w:fldChar w:fldCharType="separate"/>
      </w:r>
      <w:r>
        <w:rPr>
          <w:rStyle w:val="45"/>
          <w:rFonts w:ascii="宋体" w:hAnsi="宋体" w:cs="宋体"/>
          <w:color w:val="auto"/>
          <w:highlight w:val="none"/>
        </w:rPr>
        <w:t>8.1 对采购人的纪律要求</w:t>
      </w:r>
      <w:r>
        <w:rPr>
          <w:color w:val="auto"/>
          <w:highlight w:val="none"/>
        </w:rPr>
        <w:tab/>
      </w:r>
      <w:r>
        <w:rPr>
          <w:color w:val="auto"/>
          <w:highlight w:val="none"/>
        </w:rPr>
        <w:fldChar w:fldCharType="begin"/>
      </w:r>
      <w:r>
        <w:rPr>
          <w:color w:val="auto"/>
          <w:highlight w:val="none"/>
        </w:rPr>
        <w:instrText xml:space="preserve"> PAGEREF _Toc147994732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"_Toc147994733" </w:instrText>
      </w:r>
      <w:r>
        <w:rPr>
          <w:color w:val="auto"/>
          <w:highlight w:val="none"/>
        </w:rPr>
        <w:fldChar w:fldCharType="separate"/>
      </w:r>
      <w:r>
        <w:rPr>
          <w:rStyle w:val="45"/>
          <w:rFonts w:ascii="宋体" w:hAnsi="宋体" w:cs="宋体"/>
          <w:color w:val="auto"/>
          <w:highlight w:val="none"/>
        </w:rPr>
        <w:t>8.2 对报价人的纪律要求</w:t>
      </w:r>
      <w:r>
        <w:rPr>
          <w:color w:val="auto"/>
          <w:highlight w:val="none"/>
        </w:rPr>
        <w:tab/>
      </w:r>
      <w:r>
        <w:rPr>
          <w:color w:val="auto"/>
          <w:highlight w:val="none"/>
        </w:rPr>
        <w:fldChar w:fldCharType="begin"/>
      </w:r>
      <w:r>
        <w:rPr>
          <w:color w:val="auto"/>
          <w:highlight w:val="none"/>
        </w:rPr>
        <w:instrText xml:space="preserve"> PAGEREF _Toc147994733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"_Toc147994734" </w:instrText>
      </w:r>
      <w:r>
        <w:rPr>
          <w:color w:val="auto"/>
          <w:highlight w:val="none"/>
        </w:rPr>
        <w:fldChar w:fldCharType="separate"/>
      </w:r>
      <w:r>
        <w:rPr>
          <w:rStyle w:val="45"/>
          <w:rFonts w:ascii="宋体" w:hAnsi="宋体" w:cs="宋体"/>
          <w:color w:val="auto"/>
          <w:highlight w:val="none"/>
        </w:rPr>
        <w:t>8.3 对竞争性谈判小组成员的纪律要求</w:t>
      </w:r>
      <w:r>
        <w:rPr>
          <w:color w:val="auto"/>
          <w:highlight w:val="none"/>
        </w:rPr>
        <w:tab/>
      </w:r>
      <w:r>
        <w:rPr>
          <w:color w:val="auto"/>
          <w:highlight w:val="none"/>
        </w:rPr>
        <w:fldChar w:fldCharType="begin"/>
      </w:r>
      <w:r>
        <w:rPr>
          <w:color w:val="auto"/>
          <w:highlight w:val="none"/>
        </w:rPr>
        <w:instrText xml:space="preserve"> PAGEREF _Toc147994734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"_Toc147994735" </w:instrText>
      </w:r>
      <w:r>
        <w:rPr>
          <w:color w:val="auto"/>
          <w:highlight w:val="none"/>
        </w:rPr>
        <w:fldChar w:fldCharType="separate"/>
      </w:r>
      <w:r>
        <w:rPr>
          <w:rStyle w:val="45"/>
          <w:rFonts w:ascii="宋体" w:hAnsi="宋体" w:cs="宋体"/>
          <w:color w:val="auto"/>
          <w:highlight w:val="none"/>
        </w:rPr>
        <w:t>8.4 对与评审活动有关的工作人员的纪律要求</w:t>
      </w:r>
      <w:r>
        <w:rPr>
          <w:color w:val="auto"/>
          <w:highlight w:val="none"/>
        </w:rPr>
        <w:tab/>
      </w:r>
      <w:r>
        <w:rPr>
          <w:color w:val="auto"/>
          <w:highlight w:val="none"/>
        </w:rPr>
        <w:fldChar w:fldCharType="begin"/>
      </w:r>
      <w:r>
        <w:rPr>
          <w:color w:val="auto"/>
          <w:highlight w:val="none"/>
        </w:rPr>
        <w:instrText xml:space="preserve"> PAGEREF _Toc147994735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"_Toc147994736" </w:instrText>
      </w:r>
      <w:r>
        <w:rPr>
          <w:color w:val="auto"/>
          <w:highlight w:val="none"/>
        </w:rPr>
        <w:fldChar w:fldCharType="separate"/>
      </w:r>
      <w:r>
        <w:rPr>
          <w:rStyle w:val="45"/>
          <w:rFonts w:ascii="宋体" w:hAnsi="宋体" w:cs="宋体"/>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_Toc147994736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8"/>
        <w:tabs>
          <w:tab w:val="right" w:leader="dot" w:pos="8296"/>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"_Toc147994737" </w:instrText>
      </w:r>
      <w:r>
        <w:rPr>
          <w:color w:val="auto"/>
          <w:highlight w:val="none"/>
        </w:rPr>
        <w:fldChar w:fldCharType="separate"/>
      </w:r>
      <w:r>
        <w:rPr>
          <w:rStyle w:val="45"/>
          <w:rFonts w:ascii="宋体" w:hAnsi="宋体" w:cs="宋体"/>
          <w:color w:val="auto"/>
          <w:highlight w:val="none"/>
        </w:rPr>
        <w:t>第二章 评审办法(两轮报价)</w:t>
      </w:r>
      <w:r>
        <w:rPr>
          <w:color w:val="auto"/>
          <w:highlight w:val="none"/>
        </w:rPr>
        <w:tab/>
      </w:r>
      <w:r>
        <w:rPr>
          <w:color w:val="auto"/>
          <w:highlight w:val="none"/>
        </w:rPr>
        <w:fldChar w:fldCharType="begin"/>
      </w:r>
      <w:r>
        <w:rPr>
          <w:color w:val="auto"/>
          <w:highlight w:val="none"/>
        </w:rPr>
        <w:instrText xml:space="preserve"> PAGEREF _Toc147994737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"_Toc147994738" </w:instrText>
      </w:r>
      <w:r>
        <w:rPr>
          <w:color w:val="auto"/>
          <w:highlight w:val="none"/>
        </w:rPr>
        <w:fldChar w:fldCharType="separate"/>
      </w:r>
      <w:r>
        <w:rPr>
          <w:rStyle w:val="45"/>
          <w:rFonts w:ascii="宋体" w:hAnsi="宋体" w:cs="宋体"/>
          <w:color w:val="auto"/>
          <w:highlight w:val="none"/>
        </w:rPr>
        <w:t>1. 评审方法</w:t>
      </w:r>
      <w:r>
        <w:rPr>
          <w:color w:val="auto"/>
          <w:highlight w:val="none"/>
        </w:rPr>
        <w:tab/>
      </w:r>
      <w:r>
        <w:rPr>
          <w:color w:val="auto"/>
          <w:highlight w:val="none"/>
        </w:rPr>
        <w:fldChar w:fldCharType="begin"/>
      </w:r>
      <w:r>
        <w:rPr>
          <w:color w:val="auto"/>
          <w:highlight w:val="none"/>
        </w:rPr>
        <w:instrText xml:space="preserve"> PAGEREF _Toc147994738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"_Toc147994739" </w:instrText>
      </w:r>
      <w:r>
        <w:rPr>
          <w:color w:val="auto"/>
          <w:highlight w:val="none"/>
        </w:rPr>
        <w:fldChar w:fldCharType="separate"/>
      </w:r>
      <w:r>
        <w:rPr>
          <w:rStyle w:val="45"/>
          <w:rFonts w:ascii="宋体" w:hAnsi="宋体" w:cs="宋体"/>
          <w:color w:val="auto"/>
          <w:highlight w:val="none"/>
        </w:rPr>
        <w:t>2. 初步评审标准</w:t>
      </w:r>
      <w:r>
        <w:rPr>
          <w:color w:val="auto"/>
          <w:highlight w:val="none"/>
        </w:rPr>
        <w:tab/>
      </w:r>
      <w:r>
        <w:rPr>
          <w:color w:val="auto"/>
          <w:highlight w:val="none"/>
        </w:rPr>
        <w:fldChar w:fldCharType="begin"/>
      </w:r>
      <w:r>
        <w:rPr>
          <w:color w:val="auto"/>
          <w:highlight w:val="none"/>
        </w:rPr>
        <w:instrText xml:space="preserve"> PAGEREF _Toc147994739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"_Toc147994740" </w:instrText>
      </w:r>
      <w:r>
        <w:rPr>
          <w:color w:val="auto"/>
          <w:highlight w:val="none"/>
        </w:rPr>
        <w:fldChar w:fldCharType="separate"/>
      </w:r>
      <w:r>
        <w:rPr>
          <w:rStyle w:val="45"/>
          <w:rFonts w:ascii="宋体" w:hAnsi="宋体" w:cs="宋体"/>
          <w:color w:val="auto"/>
          <w:highlight w:val="none"/>
        </w:rPr>
        <w:t>3. 评审程序</w:t>
      </w:r>
      <w:r>
        <w:rPr>
          <w:color w:val="auto"/>
          <w:highlight w:val="none"/>
        </w:rPr>
        <w:tab/>
      </w:r>
      <w:r>
        <w:rPr>
          <w:color w:val="auto"/>
          <w:highlight w:val="none"/>
        </w:rPr>
        <w:fldChar w:fldCharType="begin"/>
      </w:r>
      <w:r>
        <w:rPr>
          <w:color w:val="auto"/>
          <w:highlight w:val="none"/>
        </w:rPr>
        <w:instrText xml:space="preserve"> PAGEREF _Toc147994740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"_Toc147994741" </w:instrText>
      </w:r>
      <w:r>
        <w:rPr>
          <w:color w:val="auto"/>
          <w:highlight w:val="none"/>
        </w:rPr>
        <w:fldChar w:fldCharType="separate"/>
      </w:r>
      <w:r>
        <w:rPr>
          <w:rStyle w:val="45"/>
          <w:rFonts w:ascii="宋体" w:hAnsi="宋体" w:cs="宋体"/>
          <w:color w:val="auto"/>
          <w:highlight w:val="none"/>
        </w:rPr>
        <w:t>3.1 初步评审</w:t>
      </w:r>
      <w:r>
        <w:rPr>
          <w:color w:val="auto"/>
          <w:highlight w:val="none"/>
        </w:rPr>
        <w:tab/>
      </w:r>
      <w:r>
        <w:rPr>
          <w:color w:val="auto"/>
          <w:highlight w:val="none"/>
        </w:rPr>
        <w:fldChar w:fldCharType="begin"/>
      </w:r>
      <w:r>
        <w:rPr>
          <w:color w:val="auto"/>
          <w:highlight w:val="none"/>
        </w:rPr>
        <w:instrText xml:space="preserve"> PAGEREF _Toc147994741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"_Toc147994742" </w:instrText>
      </w:r>
      <w:r>
        <w:rPr>
          <w:color w:val="auto"/>
          <w:highlight w:val="none"/>
        </w:rPr>
        <w:fldChar w:fldCharType="separate"/>
      </w:r>
      <w:r>
        <w:rPr>
          <w:rStyle w:val="45"/>
          <w:rFonts w:ascii="宋体" w:hAnsi="宋体" w:cs="宋体"/>
          <w:color w:val="auto"/>
          <w:highlight w:val="none"/>
        </w:rPr>
        <w:t>3.2 详细评审</w:t>
      </w:r>
      <w:r>
        <w:rPr>
          <w:color w:val="auto"/>
          <w:highlight w:val="none"/>
        </w:rPr>
        <w:tab/>
      </w:r>
      <w:r>
        <w:rPr>
          <w:color w:val="auto"/>
          <w:highlight w:val="none"/>
        </w:rPr>
        <w:fldChar w:fldCharType="begin"/>
      </w:r>
      <w:r>
        <w:rPr>
          <w:color w:val="auto"/>
          <w:highlight w:val="none"/>
        </w:rPr>
        <w:instrText xml:space="preserve"> PAGEREF _Toc147994742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"_Toc147994743" </w:instrText>
      </w:r>
      <w:r>
        <w:rPr>
          <w:color w:val="auto"/>
          <w:highlight w:val="none"/>
        </w:rPr>
        <w:fldChar w:fldCharType="separate"/>
      </w:r>
      <w:r>
        <w:rPr>
          <w:rStyle w:val="45"/>
          <w:rFonts w:ascii="宋体" w:hAnsi="宋体" w:cs="宋体"/>
          <w:color w:val="auto"/>
          <w:highlight w:val="none"/>
        </w:rPr>
        <w:t>3.3 报价文件的澄清和补正</w:t>
      </w:r>
      <w:r>
        <w:rPr>
          <w:color w:val="auto"/>
          <w:highlight w:val="none"/>
        </w:rPr>
        <w:tab/>
      </w:r>
      <w:r>
        <w:rPr>
          <w:color w:val="auto"/>
          <w:highlight w:val="none"/>
        </w:rPr>
        <w:fldChar w:fldCharType="begin"/>
      </w:r>
      <w:r>
        <w:rPr>
          <w:color w:val="auto"/>
          <w:highlight w:val="none"/>
        </w:rPr>
        <w:instrText xml:space="preserve"> PAGEREF _Toc147994743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"_Toc147994744" </w:instrText>
      </w:r>
      <w:r>
        <w:rPr>
          <w:color w:val="auto"/>
          <w:highlight w:val="none"/>
        </w:rPr>
        <w:fldChar w:fldCharType="separate"/>
      </w:r>
      <w:r>
        <w:rPr>
          <w:rStyle w:val="45"/>
          <w:rFonts w:ascii="宋体" w:hAnsi="宋体" w:cs="宋体"/>
          <w:color w:val="auto"/>
          <w:highlight w:val="none"/>
        </w:rPr>
        <w:t>3.4 评审结果</w:t>
      </w:r>
      <w:r>
        <w:rPr>
          <w:color w:val="auto"/>
          <w:highlight w:val="none"/>
        </w:rPr>
        <w:tab/>
      </w:r>
      <w:r>
        <w:rPr>
          <w:color w:val="auto"/>
          <w:highlight w:val="none"/>
        </w:rPr>
        <w:fldChar w:fldCharType="begin"/>
      </w:r>
      <w:r>
        <w:rPr>
          <w:color w:val="auto"/>
          <w:highlight w:val="none"/>
        </w:rPr>
        <w:instrText xml:space="preserve"> PAGEREF _Toc147994744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8"/>
        <w:tabs>
          <w:tab w:val="right" w:leader="dot" w:pos="8296"/>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"_Toc147994745" </w:instrText>
      </w:r>
      <w:r>
        <w:rPr>
          <w:color w:val="auto"/>
          <w:highlight w:val="none"/>
        </w:rPr>
        <w:fldChar w:fldCharType="separate"/>
      </w:r>
      <w:r>
        <w:rPr>
          <w:rStyle w:val="45"/>
          <w:rFonts w:ascii="宋体" w:hAnsi="宋体" w:cs="宋体"/>
          <w:color w:val="auto"/>
          <w:kern w:val="44"/>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_Toc147994745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8"/>
        <w:tabs>
          <w:tab w:val="right" w:leader="dot" w:pos="8296"/>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"_Toc147994746" </w:instrText>
      </w:r>
      <w:r>
        <w:rPr>
          <w:color w:val="auto"/>
          <w:highlight w:val="none"/>
        </w:rPr>
        <w:fldChar w:fldCharType="separate"/>
      </w:r>
      <w:r>
        <w:rPr>
          <w:rStyle w:val="45"/>
          <w:rFonts w:ascii="宋体" w:hAnsi="宋体" w:cs="宋体"/>
          <w:color w:val="auto"/>
          <w:kern w:val="44"/>
          <w:highlight w:val="none"/>
        </w:rPr>
        <w:t>第四章  报价文件部分格式</w:t>
      </w:r>
      <w:r>
        <w:rPr>
          <w:color w:val="auto"/>
          <w:highlight w:val="none"/>
        </w:rPr>
        <w:tab/>
      </w:r>
      <w:r>
        <w:rPr>
          <w:color w:val="auto"/>
          <w:highlight w:val="none"/>
        </w:rPr>
        <w:fldChar w:fldCharType="begin"/>
      </w:r>
      <w:r>
        <w:rPr>
          <w:color w:val="auto"/>
          <w:highlight w:val="none"/>
        </w:rPr>
        <w:instrText xml:space="preserve"> PAGEREF _Toc147994746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"_Toc147994747" </w:instrText>
      </w:r>
      <w:r>
        <w:rPr>
          <w:color w:val="auto"/>
          <w:highlight w:val="none"/>
        </w:rPr>
        <w:fldChar w:fldCharType="separate"/>
      </w:r>
      <w:r>
        <w:rPr>
          <w:rStyle w:val="45"/>
          <w:rFonts w:ascii="宋体" w:hAnsi="宋体" w:cs="宋体"/>
          <w:color w:val="auto"/>
          <w:highlight w:val="none"/>
        </w:rPr>
        <w:t>一、报价函</w:t>
      </w:r>
      <w:r>
        <w:rPr>
          <w:color w:val="auto"/>
          <w:highlight w:val="none"/>
        </w:rPr>
        <w:tab/>
      </w:r>
      <w:r>
        <w:rPr>
          <w:color w:val="auto"/>
          <w:highlight w:val="none"/>
        </w:rPr>
        <w:fldChar w:fldCharType="begin"/>
      </w:r>
      <w:r>
        <w:rPr>
          <w:color w:val="auto"/>
          <w:highlight w:val="none"/>
        </w:rPr>
        <w:instrText xml:space="preserve"> PAGEREF _Toc147994747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"_Toc147994748" </w:instrText>
      </w:r>
      <w:r>
        <w:rPr>
          <w:color w:val="auto"/>
          <w:highlight w:val="none"/>
        </w:rPr>
        <w:fldChar w:fldCharType="separate"/>
      </w:r>
      <w:r>
        <w:rPr>
          <w:rStyle w:val="45"/>
          <w:rFonts w:ascii="宋体" w:hAnsi="宋体" w:cs="宋体"/>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_Toc147994748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"_Toc147994749" </w:instrText>
      </w:r>
      <w:r>
        <w:rPr>
          <w:color w:val="auto"/>
          <w:highlight w:val="none"/>
        </w:rPr>
        <w:fldChar w:fldCharType="separate"/>
      </w:r>
      <w:r>
        <w:rPr>
          <w:rStyle w:val="45"/>
          <w:rFonts w:ascii="宋体" w:hAnsi="宋体" w:cs="宋体"/>
          <w:b/>
          <w:bCs/>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_Toc147994749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"_Toc147994750" </w:instrText>
      </w:r>
      <w:r>
        <w:rPr>
          <w:color w:val="auto"/>
          <w:highlight w:val="none"/>
        </w:rPr>
        <w:fldChar w:fldCharType="separate"/>
      </w:r>
      <w:r>
        <w:rPr>
          <w:rStyle w:val="45"/>
          <w:rFonts w:ascii="宋体" w:hAnsi="宋体" w:cs="宋体"/>
          <w:b/>
          <w:bCs/>
          <w:color w:val="auto"/>
          <w:highlight w:val="none"/>
        </w:rPr>
        <w:t>四、唱价单</w:t>
      </w:r>
      <w:r>
        <w:rPr>
          <w:color w:val="auto"/>
          <w:highlight w:val="none"/>
        </w:rPr>
        <w:tab/>
      </w:r>
      <w:r>
        <w:rPr>
          <w:color w:val="auto"/>
          <w:highlight w:val="none"/>
        </w:rPr>
        <w:fldChar w:fldCharType="begin"/>
      </w:r>
      <w:r>
        <w:rPr>
          <w:color w:val="auto"/>
          <w:highlight w:val="none"/>
        </w:rPr>
        <w:instrText xml:space="preserve"> PAGEREF _Toc147994750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"_Toc147994751" </w:instrText>
      </w:r>
      <w:r>
        <w:rPr>
          <w:color w:val="auto"/>
          <w:highlight w:val="none"/>
        </w:rPr>
        <w:fldChar w:fldCharType="separate"/>
      </w:r>
      <w:r>
        <w:rPr>
          <w:rStyle w:val="45"/>
          <w:rFonts w:ascii="宋体" w:hAnsi="宋体" w:cs="宋体"/>
          <w:b/>
          <w:bCs/>
          <w:color w:val="auto"/>
          <w:highlight w:val="none"/>
        </w:rPr>
        <w:t>五、施工组织设计</w:t>
      </w:r>
      <w:r>
        <w:rPr>
          <w:color w:val="auto"/>
          <w:highlight w:val="none"/>
        </w:rPr>
        <w:tab/>
      </w:r>
      <w:r>
        <w:rPr>
          <w:color w:val="auto"/>
          <w:highlight w:val="none"/>
        </w:rPr>
        <w:fldChar w:fldCharType="begin"/>
      </w:r>
      <w:r>
        <w:rPr>
          <w:color w:val="auto"/>
          <w:highlight w:val="none"/>
        </w:rPr>
        <w:instrText xml:space="preserve"> PAGEREF _Toc147994751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"_Toc147994752" </w:instrText>
      </w:r>
      <w:r>
        <w:rPr>
          <w:color w:val="auto"/>
          <w:highlight w:val="none"/>
        </w:rPr>
        <w:fldChar w:fldCharType="separate"/>
      </w:r>
      <w:r>
        <w:rPr>
          <w:rStyle w:val="45"/>
          <w:rFonts w:ascii="宋体" w:hAnsi="宋体" w:cs="宋体"/>
          <w:b/>
          <w:bCs/>
          <w:color w:val="auto"/>
          <w:highlight w:val="none"/>
        </w:rPr>
        <w:t>附表一：拟投入本项目的主要施工设备表</w:t>
      </w:r>
      <w:r>
        <w:rPr>
          <w:color w:val="auto"/>
          <w:highlight w:val="none"/>
        </w:rPr>
        <w:tab/>
      </w:r>
      <w:r>
        <w:rPr>
          <w:color w:val="auto"/>
          <w:highlight w:val="none"/>
        </w:rPr>
        <w:fldChar w:fldCharType="begin"/>
      </w:r>
      <w:r>
        <w:rPr>
          <w:color w:val="auto"/>
          <w:highlight w:val="none"/>
        </w:rPr>
        <w:instrText xml:space="preserve"> PAGEREF _Toc147994752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"_Toc147994753" </w:instrText>
      </w:r>
      <w:r>
        <w:rPr>
          <w:color w:val="auto"/>
          <w:highlight w:val="none"/>
        </w:rPr>
        <w:fldChar w:fldCharType="separate"/>
      </w:r>
      <w:r>
        <w:rPr>
          <w:rStyle w:val="45"/>
          <w:rFonts w:ascii="宋体" w:hAnsi="宋体" w:cs="宋体"/>
          <w:b/>
          <w:bCs/>
          <w:color w:val="auto"/>
          <w:highlight w:val="none"/>
        </w:rPr>
        <w:t>附表二：劳动力计划表</w:t>
      </w:r>
      <w:r>
        <w:rPr>
          <w:color w:val="auto"/>
          <w:highlight w:val="none"/>
        </w:rPr>
        <w:tab/>
      </w:r>
      <w:r>
        <w:rPr>
          <w:color w:val="auto"/>
          <w:highlight w:val="none"/>
        </w:rPr>
        <w:fldChar w:fldCharType="begin"/>
      </w:r>
      <w:r>
        <w:rPr>
          <w:color w:val="auto"/>
          <w:highlight w:val="none"/>
        </w:rPr>
        <w:instrText xml:space="preserve"> PAGEREF _Toc147994753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"_Toc147994754" </w:instrText>
      </w:r>
      <w:r>
        <w:rPr>
          <w:color w:val="auto"/>
          <w:highlight w:val="none"/>
        </w:rPr>
        <w:fldChar w:fldCharType="separate"/>
      </w:r>
      <w:r>
        <w:rPr>
          <w:rStyle w:val="45"/>
          <w:rFonts w:ascii="宋体" w:hAnsi="宋体" w:cs="宋体"/>
          <w:b/>
          <w:bCs/>
          <w:color w:val="auto"/>
          <w:highlight w:val="none"/>
        </w:rPr>
        <w:t>附表三：进度计划</w:t>
      </w:r>
      <w:r>
        <w:rPr>
          <w:color w:val="auto"/>
          <w:highlight w:val="none"/>
        </w:rPr>
        <w:tab/>
      </w:r>
      <w:r>
        <w:rPr>
          <w:color w:val="auto"/>
          <w:highlight w:val="none"/>
        </w:rPr>
        <w:fldChar w:fldCharType="begin"/>
      </w:r>
      <w:r>
        <w:rPr>
          <w:color w:val="auto"/>
          <w:highlight w:val="none"/>
        </w:rPr>
        <w:instrText xml:space="preserve"> PAGEREF _Toc147994754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"_Toc147994755" </w:instrText>
      </w:r>
      <w:r>
        <w:rPr>
          <w:color w:val="auto"/>
          <w:highlight w:val="none"/>
        </w:rPr>
        <w:fldChar w:fldCharType="separate"/>
      </w:r>
      <w:r>
        <w:rPr>
          <w:rStyle w:val="45"/>
          <w:rFonts w:ascii="宋体" w:hAnsi="宋体" w:cs="宋体"/>
          <w:b/>
          <w:bCs/>
          <w:color w:val="auto"/>
          <w:highlight w:val="none"/>
        </w:rPr>
        <w:t>六、项目管理机构</w:t>
      </w:r>
      <w:r>
        <w:rPr>
          <w:color w:val="auto"/>
          <w:highlight w:val="none"/>
        </w:rPr>
        <w:tab/>
      </w:r>
      <w:r>
        <w:rPr>
          <w:color w:val="auto"/>
          <w:highlight w:val="none"/>
        </w:rPr>
        <w:fldChar w:fldCharType="begin"/>
      </w:r>
      <w:r>
        <w:rPr>
          <w:color w:val="auto"/>
          <w:highlight w:val="none"/>
        </w:rPr>
        <w:instrText xml:space="preserve"> PAGEREF _Toc147994755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"_Toc147994756" </w:instrText>
      </w:r>
      <w:r>
        <w:rPr>
          <w:color w:val="auto"/>
          <w:highlight w:val="none"/>
        </w:rPr>
        <w:fldChar w:fldCharType="separate"/>
      </w:r>
      <w:r>
        <w:rPr>
          <w:rStyle w:val="45"/>
          <w:rFonts w:ascii="宋体" w:hAnsi="宋体" w:cs="宋体"/>
          <w:color w:val="auto"/>
          <w:highlight w:val="none"/>
        </w:rPr>
        <w:t>（一）项目管理机构组成表</w:t>
      </w:r>
      <w:r>
        <w:rPr>
          <w:color w:val="auto"/>
          <w:highlight w:val="none"/>
        </w:rPr>
        <w:tab/>
      </w:r>
      <w:r>
        <w:rPr>
          <w:color w:val="auto"/>
          <w:highlight w:val="none"/>
        </w:rPr>
        <w:fldChar w:fldCharType="begin"/>
      </w:r>
      <w:r>
        <w:rPr>
          <w:color w:val="auto"/>
          <w:highlight w:val="none"/>
        </w:rPr>
        <w:instrText xml:space="preserve"> PAGEREF _Toc147994756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8296"/>
        </w:tabs>
        <w:rPr>
          <w:rFonts w:asciiTheme="minorHAnsi" w:hAnsiTheme="minorHAnsi" w:eastAsiaTheme="minorEastAsia" w:cstheme="minorBidi"/>
          <w:i w:val="0"/>
          <w:iCs w:val="0"/>
          <w:color w:val="auto"/>
          <w:sz w:val="21"/>
          <w:szCs w:val="22"/>
          <w:highlight w:val="none"/>
        </w:rPr>
      </w:pPr>
      <w:r>
        <w:rPr>
          <w:color w:val="auto"/>
          <w:highlight w:val="none"/>
        </w:rPr>
        <w:fldChar w:fldCharType="begin"/>
      </w:r>
      <w:r>
        <w:rPr>
          <w:color w:val="auto"/>
          <w:highlight w:val="none"/>
        </w:rPr>
        <w:instrText xml:space="preserve"> HYPERLINK \l "_Toc147994757" </w:instrText>
      </w:r>
      <w:r>
        <w:rPr>
          <w:color w:val="auto"/>
          <w:highlight w:val="none"/>
        </w:rPr>
        <w:fldChar w:fldCharType="separate"/>
      </w:r>
      <w:r>
        <w:rPr>
          <w:rStyle w:val="45"/>
          <w:rFonts w:ascii="宋体" w:hAnsi="宋体" w:cs="宋体"/>
          <w:color w:val="auto"/>
          <w:highlight w:val="none"/>
        </w:rPr>
        <w:t>（二）项目经理简历表</w:t>
      </w:r>
      <w:r>
        <w:rPr>
          <w:color w:val="auto"/>
          <w:highlight w:val="none"/>
        </w:rPr>
        <w:tab/>
      </w:r>
      <w:r>
        <w:rPr>
          <w:color w:val="auto"/>
          <w:highlight w:val="none"/>
        </w:rPr>
        <w:fldChar w:fldCharType="begin"/>
      </w:r>
      <w:r>
        <w:rPr>
          <w:color w:val="auto"/>
          <w:highlight w:val="none"/>
        </w:rPr>
        <w:instrText xml:space="preserve"> PAGEREF _Toc147994757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35"/>
        <w:tabs>
          <w:tab w:val="right" w:leader="dot" w:pos="8296"/>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"_Toc147994758" </w:instrText>
      </w:r>
      <w:r>
        <w:rPr>
          <w:color w:val="auto"/>
          <w:highlight w:val="none"/>
        </w:rPr>
        <w:fldChar w:fldCharType="separate"/>
      </w:r>
      <w:r>
        <w:rPr>
          <w:rStyle w:val="45"/>
          <w:rFonts w:ascii="宋体" w:hAnsi="宋体" w:cs="宋体"/>
          <w:b/>
          <w:bCs/>
          <w:color w:val="auto"/>
          <w:highlight w:val="none"/>
        </w:rPr>
        <w:t>七、证明投标人资格的有关文件</w:t>
      </w:r>
      <w:r>
        <w:rPr>
          <w:color w:val="auto"/>
          <w:highlight w:val="none"/>
        </w:rPr>
        <w:tab/>
      </w:r>
      <w:r>
        <w:rPr>
          <w:color w:val="auto"/>
          <w:highlight w:val="none"/>
        </w:rPr>
        <w:fldChar w:fldCharType="begin"/>
      </w:r>
      <w:r>
        <w:rPr>
          <w:color w:val="auto"/>
          <w:highlight w:val="none"/>
        </w:rPr>
        <w:instrText xml:space="preserve"> PAGEREF _Toc147994758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3"/>
        <w:spacing w:before="0" w:after="0" w:line="360" w:lineRule="auto"/>
        <w:jc w:val="center"/>
        <w:rPr>
          <w:rFonts w:ascii="宋体" w:hAnsi="宋体" w:cs="宋体"/>
          <w:b w:val="0"/>
          <w:bCs w:val="0"/>
          <w:iCs/>
          <w:caps/>
          <w:color w:val="auto"/>
          <w:kern w:val="2"/>
          <w:sz w:val="20"/>
          <w:szCs w:val="20"/>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bCs w:val="0"/>
          <w:caps/>
          <w:color w:val="auto"/>
          <w:kern w:val="2"/>
          <w:szCs w:val="20"/>
          <w:highlight w:val="none"/>
        </w:rPr>
        <w:fldChar w:fldCharType="end"/>
      </w:r>
      <w:bookmarkEnd w:id="3"/>
      <w:bookmarkEnd w:id="4"/>
      <w:bookmarkEnd w:id="5"/>
      <w:bookmarkStart w:id="6" w:name="_Toc179632527"/>
      <w:bookmarkStart w:id="7" w:name="_Toc152045511"/>
      <w:bookmarkStart w:id="8" w:name="_Toc152042287"/>
      <w:bookmarkStart w:id="9" w:name="_Toc144974479"/>
    </w:p>
    <w:bookmarkEnd w:id="6"/>
    <w:bookmarkEnd w:id="7"/>
    <w:bookmarkEnd w:id="8"/>
    <w:bookmarkEnd w:id="9"/>
    <w:p>
      <w:pPr>
        <w:spacing w:line="360" w:lineRule="auto"/>
        <w:jc w:val="center"/>
        <w:outlineLvl w:val="0"/>
        <w:rPr>
          <w:rFonts w:ascii="宋体" w:hAnsi="宋体" w:cs="宋体"/>
          <w:color w:val="auto"/>
          <w:highlight w:val="none"/>
        </w:rPr>
      </w:pPr>
      <w:bookmarkStart w:id="10" w:name="_Toc152042303"/>
      <w:bookmarkStart w:id="11" w:name="_Toc246996916"/>
      <w:bookmarkStart w:id="12" w:name="_Toc152045527"/>
      <w:bookmarkStart w:id="13" w:name="_Toc247085687"/>
      <w:bookmarkStart w:id="14" w:name="_Toc144974495"/>
      <w:bookmarkStart w:id="15" w:name="_Toc147994690"/>
      <w:bookmarkStart w:id="16" w:name="_Toc246996173"/>
      <w:bookmarkStart w:id="17" w:name="_Toc179632544"/>
      <w:r>
        <w:rPr>
          <w:rFonts w:hint="eastAsia" w:ascii="宋体" w:hAnsi="宋体" w:cs="宋体"/>
          <w:b/>
          <w:bCs/>
          <w:color w:val="auto"/>
          <w:sz w:val="36"/>
          <w:szCs w:val="36"/>
          <w:highlight w:val="none"/>
        </w:rPr>
        <w:t>第一章 报价人须知</w:t>
      </w:r>
      <w:bookmarkEnd w:id="10"/>
      <w:bookmarkEnd w:id="11"/>
      <w:bookmarkEnd w:id="12"/>
      <w:bookmarkEnd w:id="13"/>
      <w:bookmarkEnd w:id="14"/>
      <w:bookmarkEnd w:id="15"/>
      <w:bookmarkEnd w:id="16"/>
      <w:bookmarkEnd w:id="17"/>
    </w:p>
    <w:p>
      <w:pPr>
        <w:pStyle w:val="4"/>
        <w:spacing w:before="0" w:after="0" w:line="360" w:lineRule="auto"/>
        <w:jc w:val="center"/>
        <w:rPr>
          <w:rFonts w:ascii="宋体" w:hAnsi="宋体" w:eastAsia="宋体" w:cs="宋体"/>
          <w:color w:val="auto"/>
          <w:highlight w:val="none"/>
        </w:rPr>
      </w:pPr>
      <w:bookmarkStart w:id="18" w:name="_Toc246996917"/>
      <w:bookmarkStart w:id="19" w:name="_Toc147994691"/>
      <w:bookmarkStart w:id="20" w:name="_Toc107479202"/>
      <w:bookmarkStart w:id="21" w:name="_Toc152045528"/>
      <w:bookmarkStart w:id="22" w:name="_Toc144974496"/>
      <w:bookmarkStart w:id="23" w:name="_Toc179632545"/>
      <w:bookmarkStart w:id="24" w:name="_Toc247085688"/>
      <w:bookmarkStart w:id="25" w:name="_Toc246996174"/>
      <w:bookmarkStart w:id="26" w:name="_Toc152042304"/>
      <w:r>
        <w:rPr>
          <w:rFonts w:hint="eastAsia" w:ascii="宋体" w:hAnsi="宋体" w:eastAsia="宋体" w:cs="宋体"/>
          <w:color w:val="auto"/>
          <w:highlight w:val="none"/>
        </w:rPr>
        <w:t>报价人须知前附表</w:t>
      </w:r>
      <w:bookmarkEnd w:id="18"/>
      <w:bookmarkEnd w:id="19"/>
      <w:bookmarkEnd w:id="20"/>
      <w:bookmarkEnd w:id="21"/>
      <w:bookmarkEnd w:id="22"/>
      <w:bookmarkEnd w:id="23"/>
      <w:bookmarkEnd w:id="24"/>
      <w:bookmarkEnd w:id="25"/>
      <w:bookmarkEnd w:id="26"/>
    </w:p>
    <w:p>
      <w:pPr>
        <w:rPr>
          <w:rFonts w:ascii="宋体" w:hAnsi="宋体" w:cs="宋体"/>
          <w:color w:val="auto"/>
          <w:highlight w:val="none"/>
        </w:rPr>
      </w:pPr>
    </w:p>
    <w:tbl>
      <w:tblPr>
        <w:tblStyle w:val="48"/>
        <w:tblW w:w="8522" w:type="dxa"/>
        <w:jc w:val="center"/>
        <w:tblInd w:w="0" w:type="dxa"/>
        <w:tblLayout w:type="fixed"/>
        <w:tblCellMar>
          <w:top w:w="0" w:type="dxa"/>
          <w:left w:w="108" w:type="dxa"/>
          <w:bottom w:w="0" w:type="dxa"/>
          <w:right w:w="108" w:type="dxa"/>
        </w:tblCellMar>
      </w:tblPr>
      <w:tblGrid>
        <w:gridCol w:w="1008"/>
        <w:gridCol w:w="2012"/>
        <w:gridCol w:w="5502"/>
      </w:tblGrid>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条  款  名  称</w:t>
            </w:r>
          </w:p>
        </w:tc>
        <w:tc>
          <w:tcPr>
            <w:tcW w:w="5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编  列  内  容</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报名需提供资料</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eastAsia="宋体"/>
                <w:color w:val="auto"/>
                <w:highlight w:val="none"/>
                <w:lang w:val="en-US" w:eastAsia="zh-CN"/>
              </w:rPr>
            </w:pPr>
            <w:r>
              <w:rPr>
                <w:rFonts w:hint="eastAsia" w:ascii="宋体" w:hAnsi="宋体" w:cs="宋体"/>
                <w:color w:val="auto"/>
                <w:sz w:val="24"/>
                <w:highlight w:val="none"/>
                <w:u w:val="none"/>
                <w:lang w:val="en-US" w:eastAsia="zh-CN"/>
              </w:rPr>
              <w:t>有意参与此项目的供应商需将以下：营业执照、资质证书、安全生产许可证、拟派项目经理建造师证及安全B证、授权书及身份证、近三年财务状况表（2020年-2022年）、</w:t>
            </w:r>
            <w:r>
              <w:rPr>
                <w:rFonts w:hint="eastAsia" w:ascii="宋体" w:hAnsi="宋体" w:cs="宋体"/>
                <w:color w:val="auto"/>
                <w:sz w:val="24"/>
                <w:highlight w:val="none"/>
                <w:u w:val="none"/>
              </w:rPr>
              <w:t>“中国执行信息公开网”网站（http://zxgk.court.gov.cn/shixin/）未被列入失信被执行人，且在“信用中国”网站（https://www.creditchina.gov.cn/）未被列入税收违法黑名单</w:t>
            </w:r>
            <w:r>
              <w:rPr>
                <w:rFonts w:hint="eastAsia" w:ascii="宋体" w:hAnsi="宋体" w:cs="宋体"/>
                <w:color w:val="auto"/>
                <w:sz w:val="24"/>
                <w:highlight w:val="none"/>
                <w:u w:val="none"/>
                <w:lang w:val="en-US" w:eastAsia="zh-CN"/>
              </w:rPr>
              <w:t>等资料的扫描件加盖公章发送到</w:t>
            </w:r>
            <w:r>
              <w:rPr>
                <w:rFonts w:hint="eastAsia" w:ascii="宋体" w:hAnsi="宋体" w:cs="宋体"/>
                <w:color w:val="auto"/>
                <w:sz w:val="24"/>
                <w:highlight w:val="none"/>
                <w:u w:val="none"/>
                <w:lang w:eastAsia="zh-CN"/>
              </w:rPr>
              <w:t>784266133@qq.com，</w:t>
            </w:r>
            <w:r>
              <w:rPr>
                <w:rFonts w:hint="eastAsia" w:ascii="宋体" w:hAnsi="宋体" w:cs="宋体"/>
                <w:color w:val="auto"/>
                <w:sz w:val="24"/>
                <w:highlight w:val="none"/>
                <w:u w:val="none"/>
                <w:lang w:val="en-US" w:eastAsia="zh-CN"/>
              </w:rPr>
              <w:t>并电话告知代理单位。</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1.1.2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采购人</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名称：山东颐养健康集团肥城医院</w:t>
            </w:r>
          </w:p>
          <w:p>
            <w:pPr>
              <w:spacing w:line="360" w:lineRule="auto"/>
              <w:rPr>
                <w:rFonts w:ascii="宋体" w:hAnsi="宋体" w:cs="宋体"/>
                <w:color w:val="auto"/>
                <w:sz w:val="24"/>
                <w:highlight w:val="none"/>
              </w:rPr>
            </w:pPr>
            <w:r>
              <w:rPr>
                <w:rFonts w:hint="eastAsia" w:ascii="宋体" w:hAnsi="宋体" w:cs="宋体"/>
                <w:color w:val="auto"/>
                <w:sz w:val="24"/>
                <w:highlight w:val="none"/>
              </w:rPr>
              <w:t>地址：肥城市王瓜店镇、湖屯镇山阳铺北</w:t>
            </w:r>
          </w:p>
          <w:p>
            <w:pPr>
              <w:spacing w:line="360" w:lineRule="auto"/>
              <w:rPr>
                <w:rFonts w:ascii="宋体" w:hAnsi="宋体" w:cs="宋体"/>
                <w:color w:val="auto"/>
                <w:sz w:val="24"/>
                <w:highlight w:val="none"/>
              </w:rPr>
            </w:pPr>
            <w:r>
              <w:rPr>
                <w:rFonts w:hint="eastAsia" w:ascii="宋体" w:hAnsi="宋体" w:cs="宋体"/>
                <w:color w:val="auto"/>
                <w:sz w:val="24"/>
                <w:highlight w:val="none"/>
              </w:rPr>
              <w:t>联系人：刘主任</w:t>
            </w:r>
          </w:p>
          <w:p>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4"/>
                <w:highlight w:val="none"/>
              </w:rPr>
              <w:t>联系电话：13953872480</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.2.3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招标代理机构</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名称：山东华能建设项目管理有限公司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地址：山东省泰安市高新区奥源时代大厦</w:t>
            </w:r>
          </w:p>
          <w:p>
            <w:pPr>
              <w:spacing w:line="360" w:lineRule="auto"/>
              <w:rPr>
                <w:rFonts w:ascii="宋体" w:hAnsi="宋体" w:cs="宋体"/>
                <w:color w:val="auto"/>
                <w:sz w:val="24"/>
                <w:highlight w:val="none"/>
              </w:rPr>
            </w:pPr>
            <w:r>
              <w:rPr>
                <w:rFonts w:hint="eastAsia" w:ascii="宋体" w:hAnsi="宋体" w:cs="宋体"/>
                <w:color w:val="auto"/>
                <w:sz w:val="24"/>
                <w:highlight w:val="none"/>
              </w:rPr>
              <w:t>联系人：程磊</w:t>
            </w:r>
          </w:p>
          <w:p>
            <w:pPr>
              <w:spacing w:line="360" w:lineRule="auto"/>
              <w:rPr>
                <w:color w:val="auto"/>
                <w:highlight w:val="none"/>
              </w:rPr>
            </w:pPr>
            <w:r>
              <w:rPr>
                <w:rFonts w:hint="eastAsia" w:ascii="宋体" w:hAnsi="宋体" w:cs="宋体"/>
                <w:color w:val="auto"/>
                <w:sz w:val="24"/>
                <w:highlight w:val="none"/>
              </w:rPr>
              <w:t>联系电话：</w:t>
            </w:r>
            <w:r>
              <w:rPr>
                <w:rFonts w:ascii="宋体" w:hAnsi="宋体" w:cs="宋体"/>
                <w:color w:val="auto"/>
                <w:sz w:val="24"/>
                <w:highlight w:val="none"/>
              </w:rPr>
              <w:t>15020016063</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1.1.4</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山东颐养健康集团肥城医院手术室及消毒供应室装修改造工程</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1.1.5</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本项目位于肥城市王瓜店镇、湖屯镇山阳铺北</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1.2.1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自筹</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1.2.2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已落实</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1.3.1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采购范围</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lang w:val="zh-CN"/>
              </w:rPr>
            </w:pPr>
            <w:r>
              <w:rPr>
                <w:rFonts w:hint="eastAsia" w:ascii="宋体" w:hAnsi="宋体" w:cs="宋体"/>
                <w:color w:val="auto"/>
                <w:sz w:val="24"/>
                <w:highlight w:val="none"/>
              </w:rPr>
              <w:t>一标段：手术室装修改造工程，具体详见</w:t>
            </w:r>
            <w:r>
              <w:rPr>
                <w:rFonts w:hint="eastAsia" w:ascii="宋体" w:hAnsi="宋体" w:cs="宋体"/>
                <w:color w:val="auto"/>
                <w:sz w:val="24"/>
                <w:highlight w:val="none"/>
                <w:lang w:val="zh-CN"/>
              </w:rPr>
              <w:t>图纸范围及招标澄清（如有）、工程量清单内所有工程内容。</w:t>
            </w:r>
          </w:p>
          <w:p>
            <w:pPr>
              <w:spacing w:line="360" w:lineRule="auto"/>
              <w:rPr>
                <w:rFonts w:ascii="宋体" w:hAnsi="宋体" w:cs="宋体"/>
                <w:color w:val="auto"/>
                <w:sz w:val="24"/>
                <w:highlight w:val="none"/>
                <w:lang w:val="zh-CN"/>
              </w:rPr>
            </w:pPr>
            <w:r>
              <w:rPr>
                <w:rFonts w:hint="eastAsia" w:ascii="宋体" w:hAnsi="宋体" w:cs="宋体"/>
                <w:color w:val="auto"/>
                <w:sz w:val="24"/>
                <w:highlight w:val="none"/>
              </w:rPr>
              <w:t>二标段：消毒供应室装修改造工程，具体详见</w:t>
            </w:r>
            <w:r>
              <w:rPr>
                <w:rFonts w:hint="eastAsia" w:ascii="宋体" w:hAnsi="宋体" w:cs="宋体"/>
                <w:color w:val="auto"/>
                <w:sz w:val="24"/>
                <w:highlight w:val="none"/>
                <w:lang w:val="zh-CN"/>
              </w:rPr>
              <w:t>图纸范围及招标澄清（如有）、工程量清单内所有工程内容。</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计划工期</w:t>
            </w:r>
          </w:p>
        </w:tc>
        <w:tc>
          <w:tcPr>
            <w:tcW w:w="5502" w:type="dxa"/>
            <w:tcBorders>
              <w:top w:val="single" w:color="auto" w:sz="4" w:space="0"/>
              <w:left w:val="single" w:color="auto" w:sz="4" w:space="0"/>
              <w:bottom w:val="single" w:color="auto" w:sz="4" w:space="0"/>
              <w:right w:val="single" w:color="auto" w:sz="4" w:space="0"/>
            </w:tcBorders>
            <w:vAlign w:val="center"/>
          </w:tcPr>
          <w:p>
            <w:pPr>
              <w:pStyle w:val="22"/>
              <w:spacing w:line="360" w:lineRule="auto"/>
              <w:rPr>
                <w:rFonts w:ascii="宋体" w:hAnsi="宋体" w:cs="宋体"/>
                <w:color w:val="auto"/>
                <w:sz w:val="24"/>
                <w:szCs w:val="24"/>
                <w:highlight w:val="none"/>
              </w:rPr>
            </w:pPr>
            <w:r>
              <w:rPr>
                <w:rFonts w:ascii="宋体" w:hAnsi="宋体" w:cs="宋体"/>
                <w:color w:val="auto"/>
                <w:sz w:val="24"/>
                <w:szCs w:val="24"/>
                <w:highlight w:val="none"/>
              </w:rPr>
              <w:t>20</w:t>
            </w:r>
            <w:r>
              <w:rPr>
                <w:rFonts w:hint="eastAsia" w:ascii="宋体" w:hAnsi="宋体" w:cs="宋体"/>
                <w:color w:val="auto"/>
                <w:sz w:val="24"/>
                <w:szCs w:val="24"/>
                <w:highlight w:val="none"/>
              </w:rPr>
              <w:t>日历天（具体开工时间以招标人通知为准）</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1.3.3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符合国家、行业、地方现行建筑工程施工验收规范的规定</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1.4.1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报价人资质条件、能力和信誉（一二标段）</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1、报价人须在国内依法注册，具有独立法人资格，持有有效的营业执照;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2、报价人须具有建筑工程施工总承包叁级及以上资质，并具有有效的安全生产许可证;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3、报价人近三年内（</w:t>
            </w:r>
            <w:r>
              <w:rPr>
                <w:rFonts w:ascii="宋体" w:hAnsi="宋体" w:cs="宋体"/>
                <w:color w:val="auto"/>
                <w:sz w:val="24"/>
                <w:highlight w:val="none"/>
              </w:rPr>
              <w:t>2020</w:t>
            </w:r>
            <w:r>
              <w:rPr>
                <w:rFonts w:hint="eastAsia" w:ascii="宋体" w:hAnsi="宋体" w:cs="宋体"/>
                <w:color w:val="auto"/>
                <w:sz w:val="24"/>
                <w:highlight w:val="none"/>
              </w:rPr>
              <w:t>年</w:t>
            </w:r>
            <w:r>
              <w:rPr>
                <w:rFonts w:ascii="宋体" w:hAnsi="宋体" w:cs="宋体"/>
                <w:color w:val="auto"/>
                <w:sz w:val="24"/>
                <w:highlight w:val="none"/>
              </w:rPr>
              <w:t>10</w:t>
            </w:r>
            <w:r>
              <w:rPr>
                <w:rFonts w:hint="eastAsia" w:ascii="宋体" w:hAnsi="宋体" w:cs="宋体"/>
                <w:color w:val="auto"/>
                <w:sz w:val="24"/>
                <w:highlight w:val="none"/>
              </w:rPr>
              <w:t xml:space="preserve">月1日起至今）承揽过类似拆除或装修工程施工业绩【以合同签订日期为准】;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拟派项目经理具有贰级及以上注册建造师（建筑工程专业），具有有效的安全生产考核合格证书（B类），且未担任其他在施建设工程项目的项目经理；须注册在本单位并提供近期在本单位的养老保险证明材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5、财务要求：财务状况良好，需提供近三年度（</w:t>
            </w:r>
            <w:r>
              <w:rPr>
                <w:rFonts w:ascii="宋体" w:hAnsi="宋体" w:cs="宋体"/>
                <w:color w:val="auto"/>
                <w:sz w:val="24"/>
                <w:highlight w:val="none"/>
              </w:rPr>
              <w:t>2020</w:t>
            </w:r>
            <w:r>
              <w:rPr>
                <w:rFonts w:hint="eastAsia" w:ascii="宋体" w:hAnsi="宋体" w:cs="宋体"/>
                <w:color w:val="auto"/>
                <w:sz w:val="24"/>
                <w:highlight w:val="none"/>
              </w:rPr>
              <w:t>年度、</w:t>
            </w:r>
            <w:r>
              <w:rPr>
                <w:rFonts w:ascii="宋体" w:hAnsi="宋体" w:cs="宋体"/>
                <w:color w:val="auto"/>
                <w:sz w:val="24"/>
                <w:highlight w:val="none"/>
              </w:rPr>
              <w:t>2021</w:t>
            </w:r>
            <w:r>
              <w:rPr>
                <w:rFonts w:hint="eastAsia" w:ascii="宋体" w:hAnsi="宋体" w:cs="宋体"/>
                <w:color w:val="auto"/>
                <w:sz w:val="24"/>
                <w:highlight w:val="none"/>
              </w:rPr>
              <w:t>年度、</w:t>
            </w:r>
            <w:r>
              <w:rPr>
                <w:rFonts w:ascii="宋体" w:hAnsi="宋体" w:cs="宋体"/>
                <w:color w:val="auto"/>
                <w:sz w:val="24"/>
                <w:highlight w:val="none"/>
              </w:rPr>
              <w:t>2022</w:t>
            </w:r>
            <w:r>
              <w:rPr>
                <w:rFonts w:hint="eastAsia" w:ascii="宋体" w:hAnsi="宋体" w:cs="宋体"/>
                <w:color w:val="auto"/>
                <w:sz w:val="24"/>
                <w:highlight w:val="none"/>
              </w:rPr>
              <w:t>年度）财务状况表；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6、报价人在“中国执行信息公开网”网站（http://zxgk.court.gov.cn/shixin/）未被列入失信被执行人，且在“信用中国”网站（https://www.creditchina.gov.cn/）未被列入税收违法黑名单；</w:t>
            </w:r>
          </w:p>
          <w:p>
            <w:pPr>
              <w:adjustRightInd w:val="0"/>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7、本项目不接受联合体报名。</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1.9.1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踏勘现场</w:t>
            </w:r>
          </w:p>
        </w:tc>
        <w:tc>
          <w:tcPr>
            <w:tcW w:w="5502" w:type="dxa"/>
            <w:tcBorders>
              <w:top w:val="single" w:color="auto" w:sz="4" w:space="0"/>
              <w:left w:val="single" w:color="auto" w:sz="4" w:space="0"/>
              <w:bottom w:val="single" w:color="auto" w:sz="4" w:space="0"/>
              <w:right w:val="single" w:color="auto" w:sz="4" w:space="0"/>
            </w:tcBorders>
            <w:vAlign w:val="center"/>
          </w:tcPr>
          <w:p>
            <w:pPr>
              <w:pStyle w:val="17"/>
              <w:topLinePunct/>
              <w:spacing w:line="360" w:lineRule="auto"/>
              <w:rPr>
                <w:rFonts w:hAnsi="宋体" w:cs="宋体"/>
                <w:color w:val="auto"/>
                <w:szCs w:val="24"/>
                <w:highlight w:val="none"/>
              </w:rPr>
            </w:pPr>
            <w:r>
              <w:rPr>
                <w:rFonts w:hint="eastAsia" w:hAnsi="宋体" w:cs="宋体"/>
                <w:color w:val="auto"/>
                <w:szCs w:val="24"/>
                <w:highlight w:val="none"/>
              </w:rPr>
              <w:sym w:font="Wingdings" w:char="F0FE"/>
            </w:r>
            <w:r>
              <w:rPr>
                <w:rFonts w:hint="eastAsia" w:hAnsi="宋体" w:cs="宋体"/>
                <w:color w:val="auto"/>
                <w:szCs w:val="24"/>
                <w:highlight w:val="none"/>
              </w:rPr>
              <w:t>不组织</w:t>
            </w:r>
          </w:p>
          <w:p>
            <w:pPr>
              <w:spacing w:line="360" w:lineRule="auto"/>
              <w:rPr>
                <w:rFonts w:ascii="宋体" w:hAnsi="宋体" w:cs="宋体"/>
                <w:color w:val="auto"/>
                <w:sz w:val="24"/>
                <w:highlight w:val="none"/>
              </w:rPr>
            </w:pPr>
            <w:r>
              <w:rPr>
                <w:rFonts w:hint="eastAsia" w:ascii="宋体" w:hAnsi="宋体" w:cs="宋体"/>
                <w:color w:val="auto"/>
                <w:sz w:val="24"/>
                <w:highlight w:val="none"/>
              </w:rPr>
              <w:t>□组织，踏勘时间：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踏勘集中地点：</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1.10</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偏离</w:t>
            </w:r>
          </w:p>
        </w:tc>
        <w:tc>
          <w:tcPr>
            <w:tcW w:w="5502" w:type="dxa"/>
            <w:tcBorders>
              <w:top w:val="single" w:color="auto" w:sz="4" w:space="0"/>
              <w:left w:val="single" w:color="auto" w:sz="4" w:space="0"/>
              <w:bottom w:val="single" w:color="auto" w:sz="4" w:space="0"/>
              <w:right w:val="single" w:color="auto" w:sz="4" w:space="0"/>
            </w:tcBorders>
            <w:vAlign w:val="center"/>
          </w:tcPr>
          <w:p>
            <w:pPr>
              <w:pStyle w:val="17"/>
              <w:topLinePunct/>
              <w:spacing w:line="360" w:lineRule="auto"/>
              <w:rPr>
                <w:rFonts w:hAnsi="宋体" w:cs="宋体"/>
                <w:color w:val="auto"/>
                <w:szCs w:val="24"/>
                <w:highlight w:val="none"/>
              </w:rPr>
            </w:pPr>
            <w:r>
              <w:rPr>
                <w:rFonts w:hint="eastAsia" w:hAnsi="宋体" w:cs="宋体"/>
                <w:color w:val="auto"/>
                <w:szCs w:val="24"/>
                <w:highlight w:val="none"/>
              </w:rPr>
              <w:sym w:font="Wingdings" w:char="F0FE"/>
            </w:r>
            <w:r>
              <w:rPr>
                <w:rFonts w:hint="eastAsia" w:hAnsi="宋体" w:cs="宋体"/>
                <w:color w:val="auto"/>
                <w:szCs w:val="24"/>
                <w:highlight w:val="none"/>
              </w:rPr>
              <w:t>不允许</w:t>
            </w:r>
          </w:p>
          <w:p>
            <w:pPr>
              <w:pStyle w:val="17"/>
              <w:topLinePunct/>
              <w:spacing w:line="360" w:lineRule="auto"/>
              <w:rPr>
                <w:rFonts w:hAnsi="宋体" w:cs="宋体"/>
                <w:color w:val="auto"/>
                <w:szCs w:val="24"/>
                <w:highlight w:val="none"/>
              </w:rPr>
            </w:pPr>
            <w:r>
              <w:rPr>
                <w:rFonts w:hint="eastAsia" w:hAnsi="宋体" w:cs="宋体"/>
                <w:color w:val="auto"/>
                <w:szCs w:val="24"/>
                <w:highlight w:val="none"/>
              </w:rPr>
              <w:t>□允许</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构成竞争性谈判文件的其他材料</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报价人疑问文件提交时间</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疑问文件递交截止时间：</w:t>
            </w:r>
            <w:r>
              <w:rPr>
                <w:rFonts w:ascii="宋体" w:hAnsi="宋体" w:cs="宋体"/>
                <w:color w:val="auto"/>
                <w:sz w:val="24"/>
                <w:highlight w:val="none"/>
                <w:u w:val="single"/>
              </w:rPr>
              <w:t>2023</w:t>
            </w:r>
            <w:r>
              <w:rPr>
                <w:rFonts w:hint="eastAsia" w:ascii="宋体" w:hAnsi="宋体" w:cs="宋体"/>
                <w:color w:val="auto"/>
                <w:sz w:val="24"/>
                <w:highlight w:val="none"/>
              </w:rPr>
              <w:t>年10 月24 日</w:t>
            </w:r>
            <w:r>
              <w:rPr>
                <w:rFonts w:ascii="宋体" w:hAnsi="宋体" w:cs="宋体"/>
                <w:color w:val="auto"/>
                <w:sz w:val="24"/>
                <w:highlight w:val="none"/>
                <w:u w:val="single"/>
              </w:rPr>
              <w:t>10</w:t>
            </w:r>
            <w:r>
              <w:rPr>
                <w:rFonts w:hint="eastAsia" w:ascii="宋体" w:hAnsi="宋体" w:cs="宋体"/>
                <w:color w:val="auto"/>
                <w:sz w:val="24"/>
                <w:highlight w:val="none"/>
              </w:rPr>
              <w:t>时</w:t>
            </w:r>
            <w:r>
              <w:rPr>
                <w:rFonts w:ascii="宋体" w:hAnsi="宋体" w:cs="宋体"/>
                <w:color w:val="auto"/>
                <w:sz w:val="24"/>
                <w:highlight w:val="none"/>
                <w:u w:val="single"/>
              </w:rPr>
              <w:t>00</w:t>
            </w:r>
            <w:r>
              <w:rPr>
                <w:rFonts w:hint="eastAsia" w:ascii="宋体" w:hAnsi="宋体" w:cs="宋体"/>
                <w:color w:val="auto"/>
                <w:sz w:val="24"/>
                <w:highlight w:val="none"/>
              </w:rPr>
              <w:t>分前。</w:t>
            </w:r>
          </w:p>
          <w:p>
            <w:pPr>
              <w:spacing w:line="360" w:lineRule="auto"/>
              <w:rPr>
                <w:rFonts w:ascii="宋体" w:hAnsi="宋体" w:cs="宋体"/>
                <w:color w:val="auto"/>
                <w:sz w:val="24"/>
                <w:highlight w:val="none"/>
              </w:rPr>
            </w:pPr>
            <w:r>
              <w:rPr>
                <w:rFonts w:hint="eastAsia" w:ascii="宋体" w:hAnsi="宋体" w:cs="宋体"/>
                <w:color w:val="auto"/>
                <w:sz w:val="24"/>
                <w:highlight w:val="none"/>
              </w:rPr>
              <w:t>疑问文件递交方式：提交一份疑问文件的电子文档（加盖公章的原件扫描件及可编辑word稿）发送至</w:t>
            </w:r>
            <w:r>
              <w:rPr>
                <w:rFonts w:hint="eastAsia" w:ascii="宋体" w:hAnsi="宋体" w:cs="宋体"/>
                <w:color w:val="auto"/>
                <w:sz w:val="24"/>
                <w:highlight w:val="none"/>
                <w:u w:val="single"/>
                <w:lang w:eastAsia="zh-CN"/>
              </w:rPr>
              <w:t>784266133@qq.com</w:t>
            </w:r>
            <w:r>
              <w:rPr>
                <w:rFonts w:hint="eastAsia" w:ascii="宋体" w:hAnsi="宋体" w:cs="宋体"/>
                <w:color w:val="auto"/>
                <w:sz w:val="24"/>
                <w:highlight w:val="none"/>
              </w:rPr>
              <w:t>，并电话通知代理单位。</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2.2.2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报价文件递交截止时间</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10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27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w:t>
            </w:r>
            <w:r>
              <w:rPr>
                <w:rFonts w:ascii="宋体" w:hAnsi="宋体" w:cs="宋体"/>
                <w:color w:val="auto"/>
                <w:sz w:val="24"/>
                <w:highlight w:val="none"/>
                <w:u w:val="single"/>
              </w:rPr>
              <w:t>0</w:t>
            </w:r>
            <w:r>
              <w:rPr>
                <w:rFonts w:hint="eastAsia" w:ascii="宋体" w:hAnsi="宋体" w:cs="宋体"/>
                <w:color w:val="auto"/>
                <w:sz w:val="24"/>
                <w:highlight w:val="none"/>
              </w:rPr>
              <w:t>分</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报价人确认收到竞争性谈判文件澄清的时间</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按澄清文件要求</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2.3.2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报价人确认收到竞争性谈判文件修改的时间</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按澄清文件要求</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3.1.1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构成报价文件的其他材料</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3.2.3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控制价</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控制价：一标段</w:t>
            </w:r>
            <w:r>
              <w:rPr>
                <w:rFonts w:hint="eastAsia" w:ascii="宋体" w:hAnsi="宋体" w:cs="宋体"/>
                <w:color w:val="auto"/>
                <w:sz w:val="24"/>
                <w:highlight w:val="none"/>
                <w:u w:val="single"/>
              </w:rPr>
              <w:t xml:space="preserve"> 24.8 万元，二标段19.09万元。</w:t>
            </w: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投标报价不得等于或高于控制价，否则按废标处理。</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3.3.1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谈判有效期</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0</w:t>
            </w:r>
            <w:r>
              <w:rPr>
                <w:rFonts w:hint="eastAsia" w:ascii="宋体" w:hAnsi="宋体" w:cs="宋体"/>
                <w:color w:val="auto"/>
                <w:sz w:val="24"/>
                <w:highlight w:val="none"/>
              </w:rPr>
              <w:t>日历天</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谈判保证金</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投标保证金的金额（人民币）：一标段</w:t>
            </w:r>
            <w:r>
              <w:rPr>
                <w:rFonts w:ascii="宋体" w:hAnsi="宋体" w:cs="宋体"/>
                <w:color w:val="auto"/>
                <w:sz w:val="24"/>
                <w:highlight w:val="none"/>
                <w:lang w:val="zh-CN"/>
              </w:rPr>
              <w:t>0.5</w:t>
            </w:r>
            <w:r>
              <w:rPr>
                <w:rFonts w:hint="eastAsia" w:ascii="宋体" w:hAnsi="宋体" w:cs="宋体"/>
                <w:color w:val="auto"/>
                <w:sz w:val="24"/>
                <w:highlight w:val="none"/>
                <w:lang w:val="zh-CN"/>
              </w:rPr>
              <w:t>万元；二标段</w:t>
            </w:r>
            <w:r>
              <w:rPr>
                <w:rFonts w:ascii="宋体" w:hAnsi="宋体" w:cs="宋体"/>
                <w:color w:val="auto"/>
                <w:sz w:val="24"/>
                <w:highlight w:val="none"/>
                <w:lang w:val="zh-CN"/>
              </w:rPr>
              <w:t>0.38</w:t>
            </w:r>
            <w:r>
              <w:rPr>
                <w:rFonts w:hint="eastAsia" w:ascii="宋体" w:hAnsi="宋体" w:cs="宋体"/>
                <w:color w:val="auto"/>
                <w:sz w:val="24"/>
                <w:highlight w:val="none"/>
                <w:lang w:val="zh-CN"/>
              </w:rPr>
              <w:t>万元。</w:t>
            </w:r>
          </w:p>
          <w:p>
            <w:pP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投标保证金递交形式：网银、电汇（投标保证金须在2023年10月27日9：30时前到账，投标保证金必须从投标人的基本账户转出，否则视为自动放弃投标资格）。</w:t>
            </w:r>
          </w:p>
          <w:p>
            <w:pP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户名：山东华能建设项目管理有限公司</w:t>
            </w:r>
          </w:p>
          <w:p>
            <w:pP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开户行：华夏银行济南市城东支行</w:t>
            </w:r>
          </w:p>
          <w:p>
            <w:pP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账号：4633200001819100073840  </w:t>
            </w:r>
          </w:p>
          <w:p>
            <w:pPr>
              <w:spacing w:line="360" w:lineRule="auto"/>
              <w:rPr>
                <w:rFonts w:ascii="宋体" w:hAnsi="宋体" w:cs="宋体"/>
                <w:color w:val="auto"/>
                <w:sz w:val="24"/>
                <w:highlight w:val="none"/>
              </w:rPr>
            </w:pPr>
            <w:r>
              <w:rPr>
                <w:rFonts w:hint="eastAsia" w:ascii="宋体" w:hAnsi="宋体" w:cs="宋体"/>
                <w:color w:val="auto"/>
                <w:sz w:val="24"/>
                <w:highlight w:val="none"/>
                <w:lang w:val="zh-CN"/>
              </w:rPr>
              <w:t>注：投标人应充分考虑银行交换时间，由此带来的保证金不能按时到账的责任由投标人自行承担。投标人汇款成功后将保证金电汇底单发至邮箱784266133@qq.com ，并电话通知招标人。</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3.5.2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近年财务状况的年份要求</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近三年（2</w:t>
            </w:r>
            <w:r>
              <w:rPr>
                <w:rFonts w:ascii="宋体" w:hAnsi="宋体" w:cs="宋体"/>
                <w:color w:val="auto"/>
                <w:sz w:val="24"/>
                <w:highlight w:val="none"/>
                <w:u w:val="single"/>
              </w:rPr>
              <w:t>020</w:t>
            </w:r>
            <w:r>
              <w:rPr>
                <w:rFonts w:hint="eastAsia" w:ascii="宋体" w:hAnsi="宋体" w:cs="宋体"/>
                <w:color w:val="auto"/>
                <w:sz w:val="24"/>
                <w:highlight w:val="none"/>
                <w:u w:val="single"/>
              </w:rPr>
              <w:t>年度、2</w:t>
            </w:r>
            <w:r>
              <w:rPr>
                <w:rFonts w:ascii="宋体" w:hAnsi="宋体" w:cs="宋体"/>
                <w:color w:val="auto"/>
                <w:sz w:val="24"/>
                <w:highlight w:val="none"/>
                <w:u w:val="single"/>
              </w:rPr>
              <w:t>021</w:t>
            </w:r>
            <w:r>
              <w:rPr>
                <w:rFonts w:hint="eastAsia" w:ascii="宋体" w:hAnsi="宋体" w:cs="宋体"/>
                <w:color w:val="auto"/>
                <w:sz w:val="24"/>
                <w:highlight w:val="none"/>
                <w:u w:val="single"/>
              </w:rPr>
              <w:t>年度、2</w:t>
            </w:r>
            <w:r>
              <w:rPr>
                <w:rFonts w:ascii="宋体" w:hAnsi="宋体" w:cs="宋体"/>
                <w:color w:val="auto"/>
                <w:sz w:val="24"/>
                <w:highlight w:val="none"/>
                <w:u w:val="single"/>
              </w:rPr>
              <w:t>022</w:t>
            </w:r>
            <w:r>
              <w:rPr>
                <w:rFonts w:hint="eastAsia" w:ascii="宋体" w:hAnsi="宋体" w:cs="宋体"/>
                <w:color w:val="auto"/>
                <w:sz w:val="24"/>
                <w:highlight w:val="none"/>
                <w:u w:val="single"/>
              </w:rPr>
              <w:t>年度）</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3.5.3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近年完成的类似项目的年份要求</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年</w:t>
            </w:r>
            <w:r>
              <w:rPr>
                <w:rFonts w:ascii="宋体" w:hAnsi="宋体" w:cs="宋体"/>
                <w:color w:val="auto"/>
                <w:kern w:val="0"/>
                <w:sz w:val="24"/>
                <w:highlight w:val="none"/>
                <w:u w:val="single"/>
              </w:rPr>
              <w:t>10</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1</w:t>
            </w:r>
            <w:r>
              <w:rPr>
                <w:rFonts w:hint="eastAsia" w:ascii="宋体" w:hAnsi="宋体" w:cs="宋体"/>
                <w:color w:val="auto"/>
                <w:kern w:val="0"/>
                <w:sz w:val="24"/>
                <w:highlight w:val="none"/>
              </w:rPr>
              <w:t>日起至今</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3.6.3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签名或盖章要求</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按竞争性谈判文件要求加盖报价人公章和法定代表人（或授权代表）签名或盖章。</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3.6.4</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报价文件份数</w:t>
            </w:r>
          </w:p>
        </w:tc>
        <w:tc>
          <w:tcPr>
            <w:tcW w:w="5502" w:type="dxa"/>
            <w:tcBorders>
              <w:top w:val="single" w:color="auto" w:sz="4" w:space="0"/>
              <w:left w:val="single" w:color="auto" w:sz="4" w:space="0"/>
              <w:bottom w:val="single" w:color="auto" w:sz="4" w:space="0"/>
              <w:right w:val="single" w:color="auto" w:sz="4" w:space="0"/>
            </w:tcBorders>
            <w:vAlign w:val="center"/>
          </w:tcPr>
          <w:p>
            <w:pPr>
              <w:pStyle w:val="87"/>
              <w:spacing w:line="360" w:lineRule="auto"/>
              <w:rPr>
                <w:b/>
                <w:color w:val="auto"/>
                <w:sz w:val="24"/>
                <w:highlight w:val="none"/>
              </w:rPr>
            </w:pPr>
            <w:r>
              <w:rPr>
                <w:rFonts w:hint="eastAsia"/>
                <w:b/>
                <w:color w:val="auto"/>
                <w:sz w:val="24"/>
                <w:highlight w:val="none"/>
              </w:rPr>
              <w:t>分标段制作标书：</w:t>
            </w:r>
          </w:p>
          <w:p>
            <w:pPr>
              <w:pStyle w:val="87"/>
              <w:spacing w:line="360" w:lineRule="auto"/>
              <w:rPr>
                <w:b/>
                <w:color w:val="auto"/>
                <w:sz w:val="24"/>
                <w:highlight w:val="none"/>
              </w:rPr>
            </w:pPr>
            <w:r>
              <w:rPr>
                <w:rFonts w:hint="eastAsia"/>
                <w:b/>
                <w:color w:val="auto"/>
                <w:sz w:val="24"/>
                <w:highlight w:val="none"/>
              </w:rPr>
              <w:t>报价文件份数：</w:t>
            </w:r>
          </w:p>
          <w:p>
            <w:pPr>
              <w:pStyle w:val="87"/>
              <w:spacing w:line="360" w:lineRule="auto"/>
              <w:rPr>
                <w:b/>
                <w:color w:val="auto"/>
                <w:sz w:val="24"/>
                <w:highlight w:val="none"/>
              </w:rPr>
            </w:pPr>
            <w:r>
              <w:rPr>
                <w:rFonts w:hint="eastAsia"/>
                <w:b/>
                <w:color w:val="auto"/>
                <w:sz w:val="24"/>
                <w:highlight w:val="none"/>
              </w:rPr>
              <w:t>1.正本1份，副本2份；</w:t>
            </w:r>
          </w:p>
          <w:p>
            <w:pPr>
              <w:pStyle w:val="87"/>
              <w:spacing w:line="360" w:lineRule="auto"/>
              <w:rPr>
                <w:b/>
                <w:color w:val="auto"/>
                <w:sz w:val="24"/>
                <w:highlight w:val="none"/>
              </w:rPr>
            </w:pPr>
            <w:r>
              <w:rPr>
                <w:rFonts w:hint="eastAsia"/>
                <w:b/>
                <w:color w:val="auto"/>
                <w:sz w:val="24"/>
                <w:highlight w:val="none"/>
              </w:rPr>
              <w:t>2.报价文件电子文档（内容包含全部报价文件内容，格式：正本原件PDF彩色扫描件，并提供可供编辑的word稿；报价部分还需提供EXCEL版本和软件版本，U盘）</w:t>
            </w:r>
            <w:r>
              <w:rPr>
                <w:rFonts w:hint="eastAsia"/>
                <w:b/>
                <w:color w:val="auto"/>
                <w:sz w:val="24"/>
                <w:highlight w:val="none"/>
                <w:u w:val="single"/>
              </w:rPr>
              <w:t>1</w:t>
            </w:r>
            <w:r>
              <w:rPr>
                <w:rFonts w:hint="eastAsia"/>
                <w:b/>
                <w:color w:val="auto"/>
                <w:sz w:val="24"/>
                <w:highlight w:val="none"/>
              </w:rPr>
              <w:t>份，</w:t>
            </w: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密封要求：</w:t>
            </w:r>
          </w:p>
          <w:p>
            <w:pPr>
              <w:pStyle w:val="87"/>
              <w:spacing w:line="360" w:lineRule="auto"/>
              <w:rPr>
                <w:b/>
                <w:color w:val="auto"/>
                <w:sz w:val="24"/>
                <w:highlight w:val="none"/>
              </w:rPr>
            </w:pPr>
            <w:r>
              <w:rPr>
                <w:rFonts w:hint="eastAsia"/>
                <w:b/>
                <w:color w:val="auto"/>
                <w:sz w:val="24"/>
                <w:highlight w:val="none"/>
              </w:rPr>
              <w:t>1.所有报价文件密封在一个包封内；</w:t>
            </w:r>
          </w:p>
          <w:p>
            <w:pPr>
              <w:pStyle w:val="87"/>
              <w:spacing w:line="360" w:lineRule="auto"/>
              <w:rPr>
                <w:b/>
                <w:color w:val="auto"/>
                <w:sz w:val="24"/>
                <w:highlight w:val="none"/>
              </w:rPr>
            </w:pPr>
            <w:r>
              <w:rPr>
                <w:rFonts w:hint="eastAsia"/>
                <w:b/>
                <w:color w:val="auto"/>
                <w:sz w:val="24"/>
                <w:highlight w:val="none"/>
              </w:rPr>
              <w:t>2.电子文档U盘密封在一个包封内；</w:t>
            </w:r>
          </w:p>
          <w:p>
            <w:pPr>
              <w:pStyle w:val="87"/>
              <w:spacing w:line="360" w:lineRule="auto"/>
              <w:rPr>
                <w:color w:val="auto"/>
                <w:sz w:val="24"/>
                <w:highlight w:val="none"/>
              </w:rPr>
            </w:pPr>
            <w:r>
              <w:rPr>
                <w:rFonts w:hint="eastAsia"/>
                <w:b/>
                <w:color w:val="auto"/>
                <w:sz w:val="24"/>
                <w:highlight w:val="none"/>
              </w:rPr>
              <w:t>（共</w:t>
            </w:r>
            <w:r>
              <w:rPr>
                <w:b/>
                <w:color w:val="auto"/>
                <w:sz w:val="24"/>
                <w:highlight w:val="none"/>
              </w:rPr>
              <w:t>2</w:t>
            </w:r>
            <w:r>
              <w:rPr>
                <w:rFonts w:hint="eastAsia"/>
                <w:b/>
                <w:color w:val="auto"/>
                <w:sz w:val="24"/>
                <w:highlight w:val="none"/>
              </w:rPr>
              <w:t>个包封，电子文档必须注明公司名称）</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3.6.5</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装订要求</w:t>
            </w:r>
          </w:p>
        </w:tc>
        <w:tc>
          <w:tcPr>
            <w:tcW w:w="55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t>报价文件装订方式：胶装，“商务部分”和“技术部分”装订成一册，可双面打印。</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4.1.2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封套上应载明的信息</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采购人地址：肥城市王瓜店镇、湖屯镇山阳铺北</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采购人名称：山东颐养健康集团肥城医院</w:t>
            </w:r>
          </w:p>
          <w:p>
            <w:pPr>
              <w:spacing w:line="360" w:lineRule="auto"/>
              <w:rPr>
                <w:rFonts w:ascii="宋体" w:hAnsi="宋体" w:cs="宋体"/>
                <w:color w:val="auto"/>
                <w:sz w:val="24"/>
                <w:highlight w:val="none"/>
              </w:rPr>
            </w:pPr>
            <w:r>
              <w:rPr>
                <w:rFonts w:hint="eastAsia" w:ascii="宋体" w:hAnsi="宋体" w:cs="宋体"/>
                <w:color w:val="auto"/>
                <w:sz w:val="24"/>
                <w:highlight w:val="none"/>
              </w:rPr>
              <w:t>报价文件/电子版报价文件/唱价单</w:t>
            </w:r>
            <w:r>
              <w:rPr>
                <w:rFonts w:hint="eastAsia"/>
                <w:b/>
                <w:bCs/>
                <w:color w:val="auto"/>
                <w:highlight w:val="none"/>
              </w:rPr>
              <w:t>（根据封套内实际内容填写）</w:t>
            </w:r>
          </w:p>
          <w:p>
            <w:pPr>
              <w:spacing w:line="360" w:lineRule="auto"/>
              <w:rPr>
                <w:rFonts w:ascii="宋体" w:hAnsi="宋体" w:cs="宋体"/>
                <w:color w:val="auto"/>
                <w:sz w:val="24"/>
                <w:highlight w:val="none"/>
              </w:rPr>
            </w:pPr>
            <w:r>
              <w:rPr>
                <w:rFonts w:hint="eastAsia" w:ascii="宋体" w:hAnsi="宋体" w:cs="宋体"/>
                <w:color w:val="auto"/>
                <w:sz w:val="24"/>
                <w:highlight w:val="none"/>
              </w:rPr>
              <w:t>在</w:t>
            </w:r>
            <w:r>
              <w:rPr>
                <w:rFonts w:hint="eastAsia" w:ascii="宋体" w:hAnsi="宋体" w:cs="宋体"/>
                <w:color w:val="auto"/>
                <w:sz w:val="24"/>
                <w:highlight w:val="none"/>
                <w:u w:val="single"/>
              </w:rPr>
              <w:t>2023年 10 月27 日 09时 30 分</w:t>
            </w:r>
            <w:r>
              <w:rPr>
                <w:rFonts w:hint="eastAsia" w:ascii="宋体" w:hAnsi="宋体" w:cs="宋体"/>
                <w:color w:val="auto"/>
                <w:sz w:val="24"/>
                <w:highlight w:val="none"/>
              </w:rPr>
              <w:t>前不得开启</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4.2.2</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递交报价文件地点</w:t>
            </w:r>
          </w:p>
        </w:tc>
        <w:tc>
          <w:tcPr>
            <w:tcW w:w="5502" w:type="dxa"/>
            <w:tcBorders>
              <w:top w:val="single" w:color="auto" w:sz="4" w:space="0"/>
              <w:left w:val="single" w:color="auto" w:sz="4" w:space="0"/>
              <w:bottom w:val="single" w:color="auto" w:sz="4" w:space="0"/>
              <w:right w:val="single" w:color="auto" w:sz="4" w:space="0"/>
            </w:tcBorders>
            <w:vAlign w:val="center"/>
          </w:tcPr>
          <w:p>
            <w:pPr>
              <w:tabs>
                <w:tab w:val="left" w:pos="432"/>
              </w:tabs>
              <w:spacing w:beforeLines="50" w:afterLines="50" w:line="360" w:lineRule="auto"/>
              <w:rPr>
                <w:rFonts w:ascii="宋体" w:hAnsi="宋体" w:cs="宋体"/>
                <w:color w:val="auto"/>
                <w:sz w:val="24"/>
                <w:highlight w:val="none"/>
              </w:rPr>
            </w:pPr>
            <w:r>
              <w:rPr>
                <w:rFonts w:hint="eastAsia" w:ascii="宋体" w:hAnsi="宋体" w:cs="宋体"/>
                <w:color w:val="auto"/>
                <w:sz w:val="24"/>
                <w:highlight w:val="none"/>
              </w:rPr>
              <w:t>地点：同谈判会议室地点。</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4.2.3</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是否退还报价文件</w:t>
            </w:r>
          </w:p>
        </w:tc>
        <w:tc>
          <w:tcPr>
            <w:tcW w:w="5502" w:type="dxa"/>
            <w:tcBorders>
              <w:top w:val="single" w:color="auto" w:sz="4" w:space="0"/>
              <w:left w:val="single" w:color="auto" w:sz="4" w:space="0"/>
              <w:bottom w:val="single" w:color="auto" w:sz="4" w:space="0"/>
              <w:right w:val="single" w:color="auto" w:sz="4" w:space="0"/>
            </w:tcBorders>
            <w:vAlign w:val="center"/>
          </w:tcPr>
          <w:p>
            <w:pPr>
              <w:pStyle w:val="17"/>
              <w:topLinePunct/>
              <w:spacing w:line="360" w:lineRule="auto"/>
              <w:rPr>
                <w:rFonts w:hAnsi="宋体" w:cs="宋体"/>
                <w:color w:val="auto"/>
                <w:szCs w:val="24"/>
                <w:highlight w:val="none"/>
              </w:rPr>
            </w:pPr>
            <w:r>
              <w:rPr>
                <w:rFonts w:hint="eastAsia" w:hAnsi="宋体" w:cs="宋体"/>
                <w:color w:val="auto"/>
                <w:szCs w:val="24"/>
                <w:highlight w:val="none"/>
              </w:rPr>
              <w:t>否</w:t>
            </w:r>
          </w:p>
        </w:tc>
      </w:tr>
      <w:tr>
        <w:tblPrEx>
          <w:tblLayout w:type="fixed"/>
          <w:tblCellMar>
            <w:top w:w="0" w:type="dxa"/>
            <w:left w:w="108" w:type="dxa"/>
            <w:bottom w:w="0" w:type="dxa"/>
            <w:right w:w="108" w:type="dxa"/>
          </w:tblCellMar>
        </w:tblPrEx>
        <w:trPr>
          <w:trHeight w:val="880" w:hRule="atLeast"/>
          <w:jc w:val="center"/>
        </w:trPr>
        <w:tc>
          <w:tcPr>
            <w:tcW w:w="1008"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2012"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竞争性谈判会议仪式开始时间和地点</w:t>
            </w:r>
          </w:p>
        </w:tc>
        <w:tc>
          <w:tcPr>
            <w:tcW w:w="5502" w:type="dxa"/>
            <w:tcBorders>
              <w:top w:val="single" w:color="auto" w:sz="4" w:space="0"/>
              <w:left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时间：同报价文件递交截止时间。</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地点：山东颐养健康集团肥城医院会议室。</w:t>
            </w:r>
          </w:p>
        </w:tc>
      </w:tr>
      <w:tr>
        <w:tblPrEx>
          <w:tblLayout w:type="fixed"/>
          <w:tblCellMar>
            <w:top w:w="0" w:type="dxa"/>
            <w:left w:w="108" w:type="dxa"/>
            <w:bottom w:w="0" w:type="dxa"/>
            <w:right w:w="108" w:type="dxa"/>
          </w:tblCellMar>
        </w:tblPrEx>
        <w:trPr>
          <w:trHeight w:val="880" w:hRule="atLeast"/>
          <w:jc w:val="center"/>
        </w:trPr>
        <w:tc>
          <w:tcPr>
            <w:tcW w:w="1008"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6.1.1</w:t>
            </w:r>
          </w:p>
        </w:tc>
        <w:tc>
          <w:tcPr>
            <w:tcW w:w="2012"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竞争性谈判小组的组建</w:t>
            </w:r>
          </w:p>
        </w:tc>
        <w:tc>
          <w:tcPr>
            <w:tcW w:w="5502" w:type="dxa"/>
            <w:tcBorders>
              <w:top w:val="single" w:color="auto" w:sz="4" w:space="0"/>
              <w:left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竞争性谈判小组构成：</w:t>
            </w:r>
            <w:bookmarkStart w:id="27" w:name="v__ExpertCount_"/>
            <w:r>
              <w:rPr>
                <w:rFonts w:ascii="宋体" w:hAnsi="宋体" w:cs="宋体"/>
                <w:color w:val="auto"/>
                <w:sz w:val="24"/>
                <w:highlight w:val="none"/>
              </w:rPr>
              <w:t>3</w:t>
            </w:r>
            <w:r>
              <w:rPr>
                <w:rFonts w:hint="eastAsia" w:ascii="宋体" w:hAnsi="宋体" w:cs="宋体"/>
                <w:color w:val="auto"/>
                <w:sz w:val="24"/>
                <w:highlight w:val="none"/>
              </w:rPr>
              <w:t>人及以上单数</w:t>
            </w:r>
            <w:bookmarkEnd w:id="27"/>
            <w:r>
              <w:rPr>
                <w:rFonts w:hint="eastAsia" w:ascii="宋体" w:hAnsi="宋体" w:cs="宋体"/>
                <w:color w:val="auto"/>
                <w:sz w:val="24"/>
                <w:highlight w:val="none"/>
              </w:rPr>
              <w:t>。</w:t>
            </w:r>
          </w:p>
        </w:tc>
      </w:tr>
      <w:tr>
        <w:tblPrEx>
          <w:tblLayout w:type="fixed"/>
          <w:tblCellMar>
            <w:top w:w="0" w:type="dxa"/>
            <w:left w:w="108" w:type="dxa"/>
            <w:bottom w:w="0" w:type="dxa"/>
            <w:right w:w="108" w:type="dxa"/>
          </w:tblCellMar>
        </w:tblPrEx>
        <w:trPr>
          <w:trHeight w:val="880" w:hRule="atLeast"/>
          <w:jc w:val="center"/>
        </w:trPr>
        <w:tc>
          <w:tcPr>
            <w:tcW w:w="1008"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2012"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是否授权竞争性谈判小组确定成交报价人</w:t>
            </w:r>
          </w:p>
        </w:tc>
        <w:tc>
          <w:tcPr>
            <w:tcW w:w="5502" w:type="dxa"/>
            <w:tcBorders>
              <w:top w:val="single" w:color="auto" w:sz="4" w:space="0"/>
              <w:left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是。</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7.3.1</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55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tblPrEx>
          <w:tblLayout w:type="fixed"/>
          <w:tblCellMar>
            <w:top w:w="0" w:type="dxa"/>
            <w:left w:w="108" w:type="dxa"/>
            <w:bottom w:w="0" w:type="dxa"/>
            <w:right w:w="108" w:type="dxa"/>
          </w:tblCellMar>
        </w:tblPrEx>
        <w:trPr>
          <w:jc w:val="center"/>
        </w:trPr>
        <w:tc>
          <w:tcPr>
            <w:tcW w:w="85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9</w:t>
            </w:r>
          </w:p>
        </w:tc>
        <w:tc>
          <w:tcPr>
            <w:tcW w:w="751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需要补充的其他内容</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9.1</w:t>
            </w:r>
          </w:p>
        </w:tc>
        <w:tc>
          <w:tcPr>
            <w:tcW w:w="7514" w:type="dxa"/>
            <w:gridSpan w:val="2"/>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left"/>
              <w:rPr>
                <w:rFonts w:ascii="宋体" w:hAnsi="宋体" w:cs="宋体"/>
                <w:color w:val="auto"/>
                <w:sz w:val="24"/>
                <w:highlight w:val="none"/>
              </w:rPr>
            </w:pPr>
            <w:r>
              <w:rPr>
                <w:rFonts w:hint="eastAsia" w:ascii="宋体" w:hAnsi="宋体" w:cs="宋体"/>
                <w:color w:val="auto"/>
                <w:sz w:val="24"/>
                <w:highlight w:val="none"/>
              </w:rPr>
              <w:t>按照本须知第5.1款的规定，采购人邀请所有报价人的法定代表人或其委托代理人参加竞争性谈判会议仪式，报价人的法定代表人或其委托代理人应当按时参加竞争性谈判会议仪式。</w:t>
            </w:r>
          </w:p>
          <w:p>
            <w:pPr>
              <w:pStyle w:val="87"/>
              <w:numPr>
                <w:ilvl w:val="0"/>
                <w:numId w:val="3"/>
              </w:numPr>
              <w:spacing w:line="360" w:lineRule="auto"/>
              <w:ind w:right="102"/>
              <w:rPr>
                <w:b/>
                <w:color w:val="auto"/>
                <w:kern w:val="0"/>
                <w:sz w:val="24"/>
                <w:highlight w:val="none"/>
                <w:lang w:val="zh-CN"/>
              </w:rPr>
            </w:pPr>
            <w:r>
              <w:rPr>
                <w:rFonts w:hint="eastAsia"/>
                <w:color w:val="auto"/>
                <w:sz w:val="24"/>
                <w:highlight w:val="none"/>
              </w:rPr>
              <w:t>报价人的法定代表人或其委托代理人参加竞争性谈判会议仪式需携带</w:t>
            </w:r>
            <w:r>
              <w:rPr>
                <w:rFonts w:hint="eastAsia"/>
                <w:b/>
                <w:color w:val="auto"/>
                <w:kern w:val="0"/>
                <w:sz w:val="24"/>
                <w:highlight w:val="none"/>
                <w:lang w:val="zh-CN"/>
              </w:rPr>
              <w:t>法定代表人证明或法人授权委托书及</w:t>
            </w:r>
            <w:r>
              <w:rPr>
                <w:rFonts w:hint="eastAsia"/>
                <w:b/>
                <w:color w:val="auto"/>
                <w:kern w:val="0"/>
                <w:sz w:val="24"/>
                <w:highlight w:val="none"/>
              </w:rPr>
              <w:t>相应本人</w:t>
            </w:r>
            <w:r>
              <w:rPr>
                <w:rFonts w:hint="eastAsia"/>
                <w:b/>
                <w:color w:val="auto"/>
                <w:kern w:val="0"/>
                <w:sz w:val="24"/>
                <w:highlight w:val="none"/>
                <w:lang w:val="zh-CN"/>
              </w:rPr>
              <w:t>身份证，授权代表</w:t>
            </w:r>
            <w:r>
              <w:rPr>
                <w:rFonts w:hint="eastAsia"/>
                <w:b/>
                <w:color w:val="auto"/>
                <w:sz w:val="24"/>
                <w:highlight w:val="none"/>
              </w:rPr>
              <w:t>近期（至少提供至少提供2</w:t>
            </w:r>
            <w:r>
              <w:rPr>
                <w:b/>
                <w:color w:val="auto"/>
                <w:sz w:val="24"/>
                <w:highlight w:val="none"/>
              </w:rPr>
              <w:t>02</w:t>
            </w:r>
            <w:r>
              <w:rPr>
                <w:rFonts w:hint="eastAsia"/>
                <w:b/>
                <w:color w:val="auto"/>
                <w:sz w:val="24"/>
                <w:highlight w:val="none"/>
              </w:rPr>
              <w:t>3年</w:t>
            </w:r>
            <w:r>
              <w:rPr>
                <w:b/>
                <w:color w:val="auto"/>
                <w:sz w:val="24"/>
                <w:highlight w:val="none"/>
              </w:rPr>
              <w:t>4</w:t>
            </w:r>
            <w:r>
              <w:rPr>
                <w:rFonts w:hint="eastAsia"/>
                <w:b/>
                <w:color w:val="auto"/>
                <w:sz w:val="24"/>
                <w:highlight w:val="none"/>
              </w:rPr>
              <w:t>月-2</w:t>
            </w:r>
            <w:r>
              <w:rPr>
                <w:b/>
                <w:color w:val="auto"/>
                <w:sz w:val="24"/>
                <w:highlight w:val="none"/>
              </w:rPr>
              <w:t>02</w:t>
            </w:r>
            <w:r>
              <w:rPr>
                <w:rFonts w:hint="eastAsia"/>
                <w:b/>
                <w:color w:val="auto"/>
                <w:sz w:val="24"/>
                <w:highlight w:val="none"/>
              </w:rPr>
              <w:t>3年</w:t>
            </w:r>
            <w:r>
              <w:rPr>
                <w:b/>
                <w:color w:val="auto"/>
                <w:sz w:val="24"/>
                <w:highlight w:val="none"/>
              </w:rPr>
              <w:t>9</w:t>
            </w:r>
            <w:r>
              <w:rPr>
                <w:rFonts w:hint="eastAsia"/>
                <w:b/>
                <w:color w:val="auto"/>
                <w:sz w:val="24"/>
                <w:highlight w:val="none"/>
              </w:rPr>
              <w:t>月）在本单位缴纳养老保险的证明材料。</w:t>
            </w:r>
          </w:p>
          <w:p>
            <w:pPr>
              <w:spacing w:line="360" w:lineRule="auto"/>
              <w:jc w:val="left"/>
              <w:rPr>
                <w:color w:val="auto"/>
                <w:highlight w:val="none"/>
              </w:rPr>
            </w:pPr>
            <w:r>
              <w:rPr>
                <w:rFonts w:hint="eastAsia" w:ascii="宋体" w:hAnsi="宋体" w:cs="宋体"/>
                <w:b/>
                <w:color w:val="auto"/>
                <w:kern w:val="0"/>
                <w:sz w:val="24"/>
                <w:highlight w:val="none"/>
              </w:rPr>
              <w:t>3、未参加竞争性谈判会议仪式或未按要求提供有效证件的，视为自动放弃竞争性谈判资格。</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9.2</w:t>
            </w:r>
          </w:p>
        </w:tc>
        <w:tc>
          <w:tcPr>
            <w:tcW w:w="751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知识产权：</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构成本竞争性谈判文件各个组成部分的文件，未经采购人书面同意，报价人不得擅自复印和用于非本采购项目所需的其他目的。采购人全部或者部分使用未成交报价人报价文件中的技术成果或技术方案时，需征得其书面同意，并不得擅自复印或提供给第三人。</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9.3</w:t>
            </w:r>
          </w:p>
        </w:tc>
        <w:tc>
          <w:tcPr>
            <w:tcW w:w="751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同义词语：</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构成竞争性谈判文件组成部分的“通用合同条款”、“专用合同条款”、“技术标准和要求”和“工程量清单”等章节中出现的措辞“发包人”和“承包人”，在招标投标阶段应当分别按“采购人”和“报价人”进行理解。</w:t>
            </w:r>
          </w:p>
        </w:tc>
      </w:tr>
      <w:tr>
        <w:tblPrEx>
          <w:tblLayout w:type="fixed"/>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9.4</w:t>
            </w:r>
          </w:p>
        </w:tc>
        <w:tc>
          <w:tcPr>
            <w:tcW w:w="7514" w:type="dxa"/>
            <w:gridSpan w:val="2"/>
            <w:tcBorders>
              <w:top w:val="single" w:color="auto" w:sz="4" w:space="0"/>
              <w:left w:val="single" w:color="auto" w:sz="4" w:space="0"/>
              <w:bottom w:val="single" w:color="auto" w:sz="4" w:space="0"/>
              <w:right w:val="single" w:color="auto" w:sz="4" w:space="0"/>
            </w:tcBorders>
            <w:vAlign w:val="center"/>
          </w:tcPr>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解释权：</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构成本竞争性谈判文件的各个组成文件应互为解释，互为说明。</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如有不明确或不一致：</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(1)构成合同文件组成内容的，以合同文件约定内容为准，且以专用合同条款约定的合同文件优先顺序解释；</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(2)竞争性谈判文件各个组成文件按报价人须知、评审办法、报价文件格式的先后顺序解释；</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(3)同一组成文件（章节）中就同一事项的规定或约定不一致的，以编排顺序在后者为准；</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(4)同一组成文件不同版本之间有不一致的，以形成时间在后者为准；</w:t>
            </w:r>
          </w:p>
          <w:p>
            <w:pPr>
              <w:pStyle w:val="19"/>
              <w:spacing w:after="0" w:line="360" w:lineRule="auto"/>
              <w:ind w:left="0" w:leftChars="0"/>
              <w:rPr>
                <w:rFonts w:ascii="宋体" w:hAnsi="宋体" w:cs="宋体"/>
                <w:color w:val="auto"/>
                <w:sz w:val="24"/>
                <w:highlight w:val="none"/>
              </w:rPr>
            </w:pPr>
            <w:r>
              <w:rPr>
                <w:rFonts w:hint="eastAsia" w:ascii="宋体" w:hAnsi="宋体" w:cs="宋体"/>
                <w:color w:val="auto"/>
                <w:sz w:val="24"/>
                <w:highlight w:val="none"/>
              </w:rPr>
              <w:t>按本款前述规定仍不能形成结论的，由采购人负责解释。</w:t>
            </w:r>
          </w:p>
        </w:tc>
      </w:tr>
    </w:tbl>
    <w:p>
      <w:pPr>
        <w:spacing w:line="400" w:lineRule="exact"/>
        <w:rPr>
          <w:rFonts w:ascii="宋体" w:hAnsi="宋体" w:cs="宋体"/>
          <w:color w:val="auto"/>
          <w:highlight w:val="none"/>
        </w:rPr>
      </w:pPr>
    </w:p>
    <w:p>
      <w:pPr>
        <w:spacing w:line="360" w:lineRule="auto"/>
        <w:outlineLvl w:val="1"/>
        <w:rPr>
          <w:rFonts w:ascii="宋体" w:hAnsi="宋体" w:cs="宋体"/>
          <w:color w:val="auto"/>
          <w:sz w:val="24"/>
          <w:highlight w:val="none"/>
        </w:rPr>
      </w:pPr>
      <w:r>
        <w:rPr>
          <w:rFonts w:hint="eastAsia" w:ascii="宋体" w:hAnsi="宋体" w:cs="宋体"/>
          <w:color w:val="auto"/>
          <w:highlight w:val="none"/>
        </w:rPr>
        <w:br w:type="page"/>
      </w:r>
      <w:bookmarkStart w:id="28" w:name="_Toc246996175"/>
      <w:bookmarkStart w:id="29" w:name="_Toc179632546"/>
      <w:bookmarkStart w:id="30" w:name="_Toc246996918"/>
      <w:bookmarkStart w:id="31" w:name="_Toc152042305"/>
      <w:bookmarkStart w:id="32" w:name="_Toc147994692"/>
      <w:bookmarkStart w:id="33" w:name="_Toc107479203"/>
      <w:bookmarkStart w:id="34" w:name="_Toc152045529"/>
      <w:bookmarkStart w:id="35" w:name="_Toc144974497"/>
      <w:bookmarkStart w:id="36" w:name="_Toc247085689"/>
      <w:r>
        <w:rPr>
          <w:rFonts w:hint="eastAsia" w:ascii="宋体" w:hAnsi="宋体" w:cs="宋体"/>
          <w:b/>
          <w:bCs/>
          <w:color w:val="auto"/>
          <w:sz w:val="24"/>
          <w:highlight w:val="none"/>
        </w:rPr>
        <w:t>1. 总则</w:t>
      </w:r>
      <w:bookmarkEnd w:id="28"/>
      <w:bookmarkEnd w:id="29"/>
      <w:bookmarkEnd w:id="30"/>
      <w:bookmarkEnd w:id="31"/>
      <w:bookmarkEnd w:id="32"/>
      <w:bookmarkEnd w:id="33"/>
      <w:bookmarkEnd w:id="34"/>
      <w:bookmarkEnd w:id="35"/>
      <w:bookmarkEnd w:id="36"/>
    </w:p>
    <w:p>
      <w:pPr>
        <w:pStyle w:val="5"/>
        <w:spacing w:before="0" w:after="0" w:line="360" w:lineRule="auto"/>
        <w:rPr>
          <w:rFonts w:ascii="宋体" w:hAnsi="宋体" w:cs="宋体"/>
          <w:color w:val="auto"/>
          <w:sz w:val="24"/>
          <w:szCs w:val="24"/>
          <w:highlight w:val="none"/>
        </w:rPr>
      </w:pPr>
      <w:bookmarkStart w:id="37" w:name="_Toc12792"/>
      <w:bookmarkStart w:id="38" w:name="_Toc246996176"/>
      <w:bookmarkStart w:id="39" w:name="_Toc179632547"/>
      <w:bookmarkStart w:id="40" w:name="_Toc247085690"/>
      <w:bookmarkStart w:id="41" w:name="_Toc152045530"/>
      <w:bookmarkStart w:id="42" w:name="_Toc144974498"/>
      <w:bookmarkStart w:id="43" w:name="_Toc246996919"/>
      <w:bookmarkStart w:id="44" w:name="_Toc147994693"/>
      <w:bookmarkStart w:id="45" w:name="_Toc152042306"/>
      <w:bookmarkStart w:id="46" w:name="_Toc107479204"/>
      <w:r>
        <w:rPr>
          <w:rFonts w:hint="eastAsia" w:ascii="宋体" w:hAnsi="宋体" w:cs="宋体"/>
          <w:color w:val="auto"/>
          <w:sz w:val="24"/>
          <w:szCs w:val="24"/>
          <w:highlight w:val="none"/>
        </w:rPr>
        <w:t>1.1 项目概况</w:t>
      </w:r>
      <w:bookmarkEnd w:id="37"/>
      <w:bookmarkEnd w:id="38"/>
      <w:bookmarkEnd w:id="39"/>
      <w:bookmarkEnd w:id="40"/>
      <w:bookmarkEnd w:id="41"/>
      <w:bookmarkEnd w:id="42"/>
      <w:bookmarkEnd w:id="43"/>
      <w:bookmarkEnd w:id="44"/>
      <w:bookmarkEnd w:id="45"/>
      <w:bookmarkEnd w:id="4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1.1.1参照《中华人民共和国招标投标法》等有关法律、法规和规章的规定，本采购项目已具备采购条件，现对本项目施工以竞争性谈判方式进行采购。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本采购项目采购人：见报价人须知前附表。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本采购项目采购代理机构：见报价人须知前附表。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本采购项目名称：见报价人须知前附表。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本采购项目建设地点：见报价人须知前附表。</w:t>
      </w:r>
    </w:p>
    <w:p>
      <w:pPr>
        <w:pStyle w:val="5"/>
        <w:spacing w:before="0" w:after="0" w:line="360" w:lineRule="auto"/>
        <w:rPr>
          <w:rFonts w:ascii="宋体" w:hAnsi="宋体" w:cs="宋体"/>
          <w:color w:val="auto"/>
          <w:sz w:val="24"/>
          <w:szCs w:val="24"/>
          <w:highlight w:val="none"/>
        </w:rPr>
      </w:pPr>
      <w:bookmarkStart w:id="47" w:name="_Toc107479205"/>
      <w:bookmarkStart w:id="48" w:name="_Toc247085691"/>
      <w:bookmarkStart w:id="49" w:name="_Toc152042307"/>
      <w:bookmarkStart w:id="50" w:name="_Toc246996177"/>
      <w:bookmarkStart w:id="51" w:name="_Toc179632548"/>
      <w:bookmarkStart w:id="52" w:name="_Toc147994694"/>
      <w:bookmarkStart w:id="53" w:name="_Toc4044"/>
      <w:bookmarkStart w:id="54" w:name="_Toc144974499"/>
      <w:bookmarkStart w:id="55" w:name="_Toc152045531"/>
      <w:bookmarkStart w:id="56" w:name="_Toc246996920"/>
      <w:r>
        <w:rPr>
          <w:rFonts w:hint="eastAsia" w:ascii="宋体" w:hAnsi="宋体" w:cs="宋体"/>
          <w:color w:val="auto"/>
          <w:sz w:val="24"/>
          <w:szCs w:val="24"/>
          <w:highlight w:val="none"/>
        </w:rPr>
        <w:t>1.2 资金来源和落实情况</w:t>
      </w:r>
      <w:bookmarkEnd w:id="47"/>
      <w:bookmarkEnd w:id="48"/>
      <w:bookmarkEnd w:id="49"/>
      <w:bookmarkEnd w:id="50"/>
      <w:bookmarkEnd w:id="51"/>
      <w:bookmarkEnd w:id="52"/>
      <w:bookmarkEnd w:id="53"/>
      <w:bookmarkEnd w:id="54"/>
      <w:bookmarkEnd w:id="55"/>
      <w:bookmarkEnd w:id="5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本采购项目的资金来源：见报价人须知前附表。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本采购项目的资金落实情况：见报价人须知前附表。</w:t>
      </w:r>
    </w:p>
    <w:p>
      <w:pPr>
        <w:pStyle w:val="5"/>
        <w:spacing w:before="0" w:after="0" w:line="360" w:lineRule="auto"/>
        <w:rPr>
          <w:rFonts w:ascii="宋体" w:hAnsi="宋体" w:cs="宋体"/>
          <w:color w:val="auto"/>
          <w:sz w:val="24"/>
          <w:szCs w:val="24"/>
          <w:highlight w:val="none"/>
        </w:rPr>
      </w:pPr>
      <w:bookmarkStart w:id="57" w:name="_Toc144974500"/>
      <w:bookmarkStart w:id="58" w:name="_Toc152042308"/>
      <w:bookmarkStart w:id="59" w:name="_Toc246996921"/>
      <w:bookmarkStart w:id="60" w:name="_Toc107479206"/>
      <w:bookmarkStart w:id="61" w:name="_Toc7289"/>
      <w:bookmarkStart w:id="62" w:name="_Toc147994695"/>
      <w:bookmarkStart w:id="63" w:name="_Toc247085692"/>
      <w:bookmarkStart w:id="64" w:name="_Toc152045532"/>
      <w:bookmarkStart w:id="65" w:name="_Toc179632549"/>
      <w:bookmarkStart w:id="66" w:name="_Toc246996178"/>
      <w:r>
        <w:rPr>
          <w:rFonts w:hint="eastAsia" w:ascii="宋体" w:hAnsi="宋体" w:cs="宋体"/>
          <w:color w:val="auto"/>
          <w:sz w:val="24"/>
          <w:szCs w:val="24"/>
          <w:highlight w:val="none"/>
        </w:rPr>
        <w:t>1.3 采购范围、计划工期、质量要求</w:t>
      </w:r>
      <w:bookmarkEnd w:id="57"/>
      <w:bookmarkEnd w:id="58"/>
      <w:bookmarkEnd w:id="59"/>
      <w:bookmarkEnd w:id="60"/>
      <w:bookmarkEnd w:id="61"/>
      <w:bookmarkEnd w:id="62"/>
      <w:bookmarkEnd w:id="63"/>
      <w:bookmarkEnd w:id="64"/>
      <w:bookmarkEnd w:id="65"/>
      <w:bookmarkEnd w:id="6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本次采购范围：见报价人须知前附表。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本采购项目的计划工期：见报价人须知前附表。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 本采购项目的质量要求：见报价人须知前附表。</w:t>
      </w:r>
    </w:p>
    <w:p>
      <w:pPr>
        <w:pStyle w:val="5"/>
        <w:spacing w:before="0" w:after="0" w:line="360" w:lineRule="auto"/>
        <w:rPr>
          <w:rFonts w:ascii="宋体" w:hAnsi="宋体" w:cs="宋体"/>
          <w:color w:val="auto"/>
          <w:sz w:val="24"/>
          <w:szCs w:val="24"/>
          <w:highlight w:val="none"/>
        </w:rPr>
      </w:pPr>
      <w:bookmarkStart w:id="67" w:name="_Toc246996922"/>
      <w:bookmarkStart w:id="68" w:name="_Toc247085693"/>
      <w:bookmarkStart w:id="69" w:name="_Toc13925"/>
      <w:bookmarkStart w:id="70" w:name="_Toc246996179"/>
      <w:bookmarkStart w:id="71" w:name="_Toc144974502"/>
      <w:bookmarkStart w:id="72" w:name="_Toc179632551"/>
      <w:bookmarkStart w:id="73" w:name="_Toc107479207"/>
      <w:bookmarkStart w:id="74" w:name="_Toc147994696"/>
      <w:bookmarkStart w:id="75" w:name="_Toc152042310"/>
      <w:bookmarkStart w:id="76" w:name="_Toc152045534"/>
      <w:r>
        <w:rPr>
          <w:rFonts w:hint="eastAsia" w:ascii="宋体" w:hAnsi="宋体" w:cs="宋体"/>
          <w:color w:val="auto"/>
          <w:sz w:val="24"/>
          <w:szCs w:val="24"/>
          <w:highlight w:val="none"/>
        </w:rPr>
        <w:t>1.4 报价人资格要求</w:t>
      </w:r>
      <w:bookmarkEnd w:id="67"/>
      <w:bookmarkEnd w:id="68"/>
      <w:bookmarkEnd w:id="69"/>
      <w:bookmarkEnd w:id="70"/>
      <w:bookmarkEnd w:id="71"/>
      <w:bookmarkEnd w:id="72"/>
      <w:bookmarkEnd w:id="73"/>
      <w:bookmarkEnd w:id="74"/>
      <w:bookmarkEnd w:id="75"/>
      <w:bookmarkEnd w:id="76"/>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1.4.1 报价人应具备承担本项目施工的资质条件、能力和信誉。</w:t>
      </w:r>
    </w:p>
    <w:p>
      <w:pPr>
        <w:spacing w:line="360" w:lineRule="auto"/>
        <w:ind w:firstLine="890" w:firstLineChars="371"/>
        <w:rPr>
          <w:rFonts w:ascii="宋体" w:hAnsi="宋体" w:cs="宋体"/>
          <w:color w:val="auto"/>
          <w:sz w:val="24"/>
          <w:highlight w:val="none"/>
        </w:rPr>
      </w:pPr>
      <w:r>
        <w:rPr>
          <w:rFonts w:hint="eastAsia" w:ascii="宋体" w:hAnsi="宋体" w:cs="宋体"/>
          <w:color w:val="auto"/>
          <w:sz w:val="24"/>
          <w:highlight w:val="none"/>
        </w:rPr>
        <w:t>详见报价人须知前附表。</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1.4.2 报价人不得存在下列情形之一：</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（1）为采购人不具有独立法人资格的附属机构（单位）；</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（2）为本采购项目前期准备提供设计或咨询服务的； </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（3）为本采购项目的监理人；</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（4）为本采购项目的代建人； </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（5）为本采购项目提供招标代理服务的； </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（6）与本采购项目的监理人或代建人或采购代理机构同为一个法定代表人的；</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（7）与本采购项目的监理人或代建人或采购代理机构相互控股或参股的；</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（8）与本采购项目的监理人或代建人或采购代理机构相互任职或工作的；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（9）法律法规规定的其他情形；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 单位负责人为同一人或者存在控股、管理关系的不同单位，不得同时参加本采购项目谈判报价。</w:t>
      </w:r>
    </w:p>
    <w:p>
      <w:pPr>
        <w:pStyle w:val="5"/>
        <w:spacing w:before="0" w:after="0" w:line="360" w:lineRule="auto"/>
        <w:rPr>
          <w:rFonts w:ascii="宋体" w:hAnsi="宋体" w:cs="宋体"/>
          <w:color w:val="auto"/>
          <w:sz w:val="24"/>
          <w:szCs w:val="24"/>
          <w:highlight w:val="none"/>
        </w:rPr>
      </w:pPr>
      <w:bookmarkStart w:id="77" w:name="_Toc179632552"/>
      <w:bookmarkStart w:id="78" w:name="_Toc246996923"/>
      <w:bookmarkStart w:id="79" w:name="_Toc152045535"/>
      <w:bookmarkStart w:id="80" w:name="_Toc144974503"/>
      <w:bookmarkStart w:id="81" w:name="_Toc246996180"/>
      <w:bookmarkStart w:id="82" w:name="_Toc20856"/>
      <w:bookmarkStart w:id="83" w:name="_Toc152042311"/>
      <w:bookmarkStart w:id="84" w:name="_Toc107479208"/>
      <w:bookmarkStart w:id="85" w:name="_Toc147994697"/>
      <w:bookmarkStart w:id="86" w:name="_Toc247085694"/>
      <w:r>
        <w:rPr>
          <w:rFonts w:hint="eastAsia" w:ascii="宋体" w:hAnsi="宋体" w:cs="宋体"/>
          <w:color w:val="auto"/>
          <w:sz w:val="24"/>
          <w:szCs w:val="24"/>
          <w:highlight w:val="none"/>
        </w:rPr>
        <w:t>1.5 费用承担</w:t>
      </w:r>
      <w:bookmarkEnd w:id="77"/>
      <w:bookmarkEnd w:id="78"/>
      <w:bookmarkEnd w:id="79"/>
      <w:bookmarkEnd w:id="80"/>
      <w:bookmarkEnd w:id="81"/>
      <w:bookmarkEnd w:id="82"/>
      <w:bookmarkEnd w:id="83"/>
      <w:bookmarkEnd w:id="84"/>
      <w:bookmarkEnd w:id="85"/>
      <w:bookmarkEnd w:id="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1.5.1报价人准备和参加投标活动发生的所有费用自理。</w:t>
      </w:r>
    </w:p>
    <w:p>
      <w:pPr>
        <w:spacing w:line="360" w:lineRule="auto"/>
        <w:ind w:firstLine="480" w:firstLineChars="200"/>
        <w:rPr>
          <w:rFonts w:ascii="宋体" w:hAnsi="宋体" w:cs="宋体"/>
          <w:color w:val="auto"/>
          <w:sz w:val="24"/>
          <w:highlight w:val="none"/>
        </w:rPr>
      </w:pPr>
      <w:bookmarkStart w:id="87" w:name="_Toc246996181"/>
      <w:bookmarkStart w:id="88" w:name="_Toc152045536"/>
      <w:bookmarkStart w:id="89" w:name="_Toc247085695"/>
      <w:bookmarkStart w:id="90" w:name="_Toc246996924"/>
      <w:bookmarkStart w:id="91" w:name="_Toc152042312"/>
      <w:bookmarkStart w:id="92" w:name="_Toc144974504"/>
      <w:bookmarkStart w:id="93" w:name="_Toc107479209"/>
      <w:bookmarkStart w:id="94" w:name="_Toc179632553"/>
      <w:bookmarkStart w:id="95" w:name="_Toc147994698"/>
      <w:bookmarkStart w:id="96" w:name="_Toc2981"/>
      <w:r>
        <w:rPr>
          <w:rFonts w:hint="eastAsia" w:ascii="宋体" w:hAnsi="宋体" w:cs="宋体"/>
          <w:color w:val="auto"/>
          <w:sz w:val="24"/>
          <w:highlight w:val="none"/>
        </w:rPr>
        <w:t>1.5.2本项目代理服务费</w:t>
      </w:r>
      <w:bookmarkStart w:id="97" w:name="_Hlk148108423"/>
      <w:r>
        <w:rPr>
          <w:rFonts w:hint="eastAsia" w:ascii="宋体" w:hAnsi="宋体" w:cs="宋体"/>
          <w:color w:val="auto"/>
          <w:sz w:val="24"/>
          <w:highlight w:val="none"/>
        </w:rPr>
        <w:t>由成交报价人承担。该费用综合考虑在谈判报价中，不得单列，不得在谈判总价中体现。</w:t>
      </w:r>
      <w:bookmarkEnd w:id="97"/>
      <w:r>
        <w:rPr>
          <w:rFonts w:hint="eastAsia" w:ascii="宋体" w:hAnsi="宋体" w:cs="宋体"/>
          <w:color w:val="auto"/>
          <w:sz w:val="24"/>
          <w:highlight w:val="none"/>
        </w:rPr>
        <w:t>代理服务费采用差额定律累计法计算，该费用收取标准为：</w:t>
      </w:r>
    </w:p>
    <w:tbl>
      <w:tblPr>
        <w:tblStyle w:val="48"/>
        <w:tblW w:w="8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2593"/>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成交金额（万元）</w:t>
            </w:r>
          </w:p>
        </w:tc>
        <w:tc>
          <w:tcPr>
            <w:tcW w:w="25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c>
          <w:tcPr>
            <w:tcW w:w="26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取费比例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100以下</w:t>
            </w:r>
          </w:p>
        </w:tc>
        <w:tc>
          <w:tcPr>
            <w:tcW w:w="25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679"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ascii="宋体" w:hAnsi="宋体" w:cs="宋体"/>
                <w:color w:val="auto"/>
                <w:sz w:val="24"/>
                <w:highlight w:val="none"/>
                <w:u w:val="single"/>
              </w:rPr>
              <w:t>50</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w:t>
            </w:r>
          </w:p>
        </w:tc>
        <w:tc>
          <w:tcPr>
            <w:tcW w:w="25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0.70%</w:t>
            </w:r>
          </w:p>
        </w:tc>
        <w:tc>
          <w:tcPr>
            <w:tcW w:w="2679"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w:t>
            </w:r>
          </w:p>
        </w:tc>
        <w:tc>
          <w:tcPr>
            <w:tcW w:w="25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0.55%</w:t>
            </w:r>
          </w:p>
        </w:tc>
        <w:tc>
          <w:tcPr>
            <w:tcW w:w="2679"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w:t>
            </w:r>
          </w:p>
        </w:tc>
        <w:tc>
          <w:tcPr>
            <w:tcW w:w="25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0.35%</w:t>
            </w:r>
          </w:p>
        </w:tc>
        <w:tc>
          <w:tcPr>
            <w:tcW w:w="2679"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beforeLines="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单次招标代理服务费收费不足</w:t>
      </w:r>
      <w:r>
        <w:rPr>
          <w:rFonts w:ascii="宋体" w:hAnsi="宋体" w:cs="宋体"/>
          <w:color w:val="auto"/>
          <w:sz w:val="24"/>
          <w:highlight w:val="none"/>
          <w:u w:val="single"/>
        </w:rPr>
        <w:t>7000</w:t>
      </w:r>
      <w:r>
        <w:rPr>
          <w:rFonts w:hint="eastAsia" w:ascii="宋体" w:hAnsi="宋体" w:cs="宋体"/>
          <w:color w:val="auto"/>
          <w:sz w:val="24"/>
          <w:highlight w:val="none"/>
        </w:rPr>
        <w:t>元的按照</w:t>
      </w:r>
      <w:r>
        <w:rPr>
          <w:rFonts w:ascii="宋体" w:hAnsi="宋体" w:cs="宋体"/>
          <w:color w:val="auto"/>
          <w:sz w:val="24"/>
          <w:highlight w:val="none"/>
          <w:u w:val="single"/>
        </w:rPr>
        <w:t>7000</w:t>
      </w:r>
      <w:r>
        <w:rPr>
          <w:rFonts w:hint="eastAsia" w:ascii="宋体" w:hAnsi="宋体" w:cs="宋体"/>
          <w:color w:val="auto"/>
          <w:sz w:val="24"/>
          <w:highlight w:val="none"/>
        </w:rPr>
        <w:t>元收取。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1.5.3控制价编制费：由成交报价人承担。该费用综合考虑在谈判报价中，不得单列，不得在谈判总价中体现。收取标准为：按照鲁价费发【2007】205号文规定的</w:t>
      </w:r>
      <w:r>
        <w:rPr>
          <w:rFonts w:ascii="宋体" w:hAnsi="宋体" w:cs="宋体"/>
          <w:color w:val="auto"/>
          <w:sz w:val="24"/>
          <w:highlight w:val="none"/>
        </w:rPr>
        <w:t>50</w:t>
      </w:r>
      <w:r>
        <w:rPr>
          <w:rFonts w:hint="eastAsia" w:ascii="宋体" w:hAnsi="宋体" w:cs="宋体"/>
          <w:color w:val="auto"/>
          <w:sz w:val="24"/>
          <w:highlight w:val="none"/>
        </w:rPr>
        <w:t>%</w:t>
      </w:r>
      <w:bookmarkStart w:id="688" w:name="_GoBack"/>
      <w:bookmarkEnd w:id="688"/>
      <w:r>
        <w:rPr>
          <w:rFonts w:hint="eastAsia" w:ascii="宋体" w:hAnsi="宋体" w:cs="宋体"/>
          <w:color w:val="auto"/>
          <w:sz w:val="24"/>
          <w:highlight w:val="none"/>
        </w:rPr>
        <w:t>。</w:t>
      </w:r>
    </w:p>
    <w:p>
      <w:pPr>
        <w:pStyle w:val="5"/>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1.6 保密</w:t>
      </w:r>
      <w:bookmarkEnd w:id="87"/>
      <w:bookmarkEnd w:id="88"/>
      <w:bookmarkEnd w:id="89"/>
      <w:bookmarkEnd w:id="90"/>
      <w:bookmarkEnd w:id="91"/>
      <w:bookmarkEnd w:id="92"/>
      <w:bookmarkEnd w:id="93"/>
      <w:bookmarkEnd w:id="94"/>
      <w:bookmarkEnd w:id="95"/>
      <w:bookmarkEnd w:id="9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参与招标投标活动的各方应对竞争性谈判文件和报价文件中的商业和技术等秘密保密，违者应对由此造成的后果承担法律责任。 </w:t>
      </w:r>
    </w:p>
    <w:p>
      <w:pPr>
        <w:pStyle w:val="5"/>
        <w:spacing w:before="0" w:after="0" w:line="360" w:lineRule="auto"/>
        <w:rPr>
          <w:rFonts w:ascii="宋体" w:hAnsi="宋体" w:cs="宋体"/>
          <w:color w:val="auto"/>
          <w:sz w:val="24"/>
          <w:szCs w:val="24"/>
          <w:highlight w:val="none"/>
        </w:rPr>
      </w:pPr>
      <w:bookmarkStart w:id="98" w:name="_Toc144974505"/>
      <w:bookmarkStart w:id="99" w:name="_Toc147994699"/>
      <w:bookmarkStart w:id="100" w:name="_Toc247085696"/>
      <w:bookmarkStart w:id="101" w:name="_Toc107479210"/>
      <w:bookmarkStart w:id="102" w:name="_Toc152042313"/>
      <w:bookmarkStart w:id="103" w:name="_Toc152045537"/>
      <w:bookmarkStart w:id="104" w:name="_Toc246996925"/>
      <w:bookmarkStart w:id="105" w:name="_Toc10526"/>
      <w:bookmarkStart w:id="106" w:name="_Toc179632554"/>
      <w:bookmarkStart w:id="107" w:name="_Toc246996182"/>
      <w:r>
        <w:rPr>
          <w:rFonts w:hint="eastAsia" w:ascii="宋体" w:hAnsi="宋体" w:cs="宋体"/>
          <w:color w:val="auto"/>
          <w:sz w:val="24"/>
          <w:szCs w:val="24"/>
          <w:highlight w:val="none"/>
        </w:rPr>
        <w:t>1.7 语言</w:t>
      </w:r>
      <w:bookmarkEnd w:id="98"/>
      <w:r>
        <w:rPr>
          <w:rFonts w:hint="eastAsia" w:ascii="宋体" w:hAnsi="宋体" w:cs="宋体"/>
          <w:color w:val="auto"/>
          <w:sz w:val="24"/>
          <w:szCs w:val="24"/>
          <w:highlight w:val="none"/>
        </w:rPr>
        <w:t>文字</w:t>
      </w:r>
      <w:bookmarkEnd w:id="99"/>
      <w:bookmarkEnd w:id="100"/>
      <w:bookmarkEnd w:id="101"/>
      <w:bookmarkEnd w:id="102"/>
      <w:bookmarkEnd w:id="103"/>
      <w:bookmarkEnd w:id="104"/>
      <w:bookmarkEnd w:id="105"/>
      <w:bookmarkEnd w:id="106"/>
      <w:bookmarkEnd w:id="107"/>
    </w:p>
    <w:p>
      <w:pPr>
        <w:spacing w:line="360" w:lineRule="auto"/>
        <w:ind w:firstLine="480" w:firstLineChars="200"/>
        <w:rPr>
          <w:rFonts w:ascii="宋体" w:hAnsi="宋体" w:cs="宋体"/>
          <w:color w:val="auto"/>
          <w:sz w:val="24"/>
          <w:highlight w:val="none"/>
        </w:rPr>
      </w:pPr>
      <w:bookmarkStart w:id="108" w:name="_Toc179632555"/>
      <w:bookmarkStart w:id="109" w:name="_Toc144974506"/>
      <w:bookmarkStart w:id="110" w:name="_Toc246996183"/>
      <w:bookmarkStart w:id="111" w:name="_Toc246996926"/>
      <w:bookmarkStart w:id="112" w:name="_Toc152045538"/>
      <w:bookmarkStart w:id="113" w:name="_Toc247085697"/>
      <w:bookmarkStart w:id="114" w:name="_Toc152042314"/>
      <w:r>
        <w:rPr>
          <w:rFonts w:hint="eastAsia" w:ascii="宋体" w:hAnsi="宋体" w:cs="宋体"/>
          <w:color w:val="auto"/>
          <w:sz w:val="24"/>
          <w:highlight w:val="none"/>
        </w:rPr>
        <w:t>报价文件使用的语言文字为中文。专用术语使用外文的，应附有中文注释。</w:t>
      </w:r>
    </w:p>
    <w:p>
      <w:pPr>
        <w:pStyle w:val="5"/>
        <w:spacing w:before="0" w:after="0" w:line="360" w:lineRule="auto"/>
        <w:rPr>
          <w:rFonts w:ascii="宋体" w:hAnsi="宋体" w:cs="宋体"/>
          <w:color w:val="auto"/>
          <w:sz w:val="24"/>
          <w:szCs w:val="24"/>
          <w:highlight w:val="none"/>
        </w:rPr>
      </w:pPr>
      <w:bookmarkStart w:id="115" w:name="_Toc25126"/>
      <w:bookmarkStart w:id="116" w:name="_Toc147994700"/>
      <w:bookmarkStart w:id="117" w:name="_Toc107479211"/>
      <w:r>
        <w:rPr>
          <w:rFonts w:hint="eastAsia" w:ascii="宋体" w:hAnsi="宋体" w:cs="宋体"/>
          <w:color w:val="auto"/>
          <w:sz w:val="24"/>
          <w:szCs w:val="24"/>
          <w:highlight w:val="none"/>
        </w:rPr>
        <w:t>1.8 计量单位</w:t>
      </w:r>
      <w:bookmarkEnd w:id="108"/>
      <w:bookmarkEnd w:id="109"/>
      <w:bookmarkEnd w:id="110"/>
      <w:bookmarkEnd w:id="111"/>
      <w:bookmarkEnd w:id="112"/>
      <w:bookmarkEnd w:id="113"/>
      <w:bookmarkEnd w:id="114"/>
      <w:bookmarkEnd w:id="115"/>
      <w:bookmarkEnd w:id="116"/>
      <w:bookmarkEnd w:id="11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pPr>
        <w:pStyle w:val="5"/>
        <w:spacing w:before="0" w:after="0" w:line="360" w:lineRule="auto"/>
        <w:rPr>
          <w:rFonts w:ascii="宋体" w:hAnsi="宋体" w:cs="宋体"/>
          <w:color w:val="auto"/>
          <w:sz w:val="24"/>
          <w:szCs w:val="24"/>
          <w:highlight w:val="none"/>
        </w:rPr>
      </w:pPr>
      <w:bookmarkStart w:id="118" w:name="_Toc152045539"/>
      <w:bookmarkStart w:id="119" w:name="_Toc247592876"/>
      <w:bookmarkStart w:id="120" w:name="_Toc147994701"/>
      <w:bookmarkStart w:id="121" w:name="_Toc247513962"/>
      <w:bookmarkStart w:id="122" w:name="_Toc107479212"/>
      <w:bookmarkStart w:id="123" w:name="_Toc144974507"/>
      <w:bookmarkStart w:id="124" w:name="_Toc247527563"/>
      <w:bookmarkStart w:id="125" w:name="_Toc25187"/>
      <w:bookmarkStart w:id="126" w:name="_Toc152042315"/>
      <w:r>
        <w:rPr>
          <w:rFonts w:hint="eastAsia" w:ascii="宋体" w:hAnsi="宋体" w:cs="宋体"/>
          <w:color w:val="auto"/>
          <w:sz w:val="24"/>
          <w:szCs w:val="24"/>
          <w:highlight w:val="none"/>
        </w:rPr>
        <w:t>1.9 踏勘现场</w:t>
      </w:r>
      <w:bookmarkEnd w:id="118"/>
      <w:bookmarkEnd w:id="119"/>
      <w:bookmarkEnd w:id="120"/>
      <w:bookmarkEnd w:id="121"/>
      <w:bookmarkEnd w:id="122"/>
      <w:bookmarkEnd w:id="123"/>
      <w:bookmarkEnd w:id="124"/>
      <w:bookmarkEnd w:id="125"/>
      <w:bookmarkEnd w:id="12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1.9.1 报价人须知前附表规定组织踏勘现场的，采购人按报价人须知前附表规定的时间、地点组织报价人踏勘项目现场。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报价人踏勘现场发生的费用自理。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 除采购人的原因外，报价人自行负责在踏勘现场中所发生的人员伤亡和财产损失。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 采购人在踏勘现场中介绍的工程场地和相关的周边环境情况，供报价人在编制报价文件时参考，采购人不对报价人据此作出的判断和决策负责。</w:t>
      </w:r>
    </w:p>
    <w:p>
      <w:pPr>
        <w:pStyle w:val="5"/>
        <w:spacing w:before="0" w:after="0" w:line="360" w:lineRule="auto"/>
        <w:rPr>
          <w:rFonts w:ascii="宋体" w:hAnsi="宋体" w:cs="宋体"/>
          <w:color w:val="auto"/>
          <w:sz w:val="24"/>
          <w:szCs w:val="24"/>
          <w:highlight w:val="none"/>
        </w:rPr>
      </w:pPr>
      <w:bookmarkStart w:id="127" w:name="_Toc107479213"/>
      <w:bookmarkStart w:id="128" w:name="_Toc9783"/>
      <w:bookmarkStart w:id="129" w:name="_Toc147994702"/>
      <w:r>
        <w:rPr>
          <w:rFonts w:hint="eastAsia" w:ascii="宋体" w:hAnsi="宋体" w:cs="宋体"/>
          <w:color w:val="auto"/>
          <w:sz w:val="24"/>
          <w:szCs w:val="24"/>
          <w:highlight w:val="none"/>
        </w:rPr>
        <w:t>1.10 偏离</w:t>
      </w:r>
      <w:bookmarkEnd w:id="127"/>
      <w:bookmarkEnd w:id="128"/>
      <w:bookmarkEnd w:id="12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报价人须知前附表允许报价文件偏离竞争性谈判文件某些要求的，偏离应当符合竞争性谈判文件规定的偏离范围和幅度。</w:t>
      </w:r>
    </w:p>
    <w:p>
      <w:pPr>
        <w:pStyle w:val="4"/>
        <w:spacing w:before="0" w:after="0" w:line="360" w:lineRule="auto"/>
        <w:rPr>
          <w:rFonts w:ascii="宋体" w:hAnsi="宋体" w:eastAsia="宋体" w:cs="宋体"/>
          <w:color w:val="auto"/>
          <w:sz w:val="24"/>
          <w:szCs w:val="24"/>
          <w:highlight w:val="none"/>
        </w:rPr>
      </w:pPr>
      <w:bookmarkStart w:id="130" w:name="_Toc247085701"/>
      <w:bookmarkStart w:id="131" w:name="_Toc152045542"/>
      <w:bookmarkStart w:id="132" w:name="_Toc246996930"/>
      <w:bookmarkStart w:id="133" w:name="_Toc179632560"/>
      <w:bookmarkStart w:id="134" w:name="_Toc152042318"/>
      <w:bookmarkStart w:id="135" w:name="_Toc246996187"/>
      <w:bookmarkStart w:id="136" w:name="_Toc144974510"/>
      <w:bookmarkStart w:id="137" w:name="_Toc147994703"/>
      <w:bookmarkStart w:id="138" w:name="_Toc107479214"/>
      <w:r>
        <w:rPr>
          <w:rFonts w:hint="eastAsia" w:ascii="宋体" w:hAnsi="宋体" w:eastAsia="宋体" w:cs="宋体"/>
          <w:color w:val="auto"/>
          <w:sz w:val="24"/>
          <w:szCs w:val="24"/>
          <w:highlight w:val="none"/>
        </w:rPr>
        <w:t xml:space="preserve">2. </w:t>
      </w:r>
      <w:bookmarkEnd w:id="130"/>
      <w:bookmarkEnd w:id="131"/>
      <w:bookmarkEnd w:id="132"/>
      <w:bookmarkEnd w:id="133"/>
      <w:bookmarkEnd w:id="134"/>
      <w:bookmarkEnd w:id="135"/>
      <w:bookmarkEnd w:id="136"/>
      <w:r>
        <w:rPr>
          <w:rFonts w:hint="eastAsia" w:ascii="宋体" w:hAnsi="宋体" w:eastAsia="宋体" w:cs="宋体"/>
          <w:color w:val="auto"/>
          <w:sz w:val="24"/>
          <w:szCs w:val="24"/>
          <w:highlight w:val="none"/>
        </w:rPr>
        <w:t>竞争性谈判文件</w:t>
      </w:r>
      <w:bookmarkEnd w:id="137"/>
      <w:bookmarkEnd w:id="138"/>
    </w:p>
    <w:p>
      <w:pPr>
        <w:pStyle w:val="5"/>
        <w:spacing w:before="0" w:after="0" w:line="360" w:lineRule="auto"/>
        <w:rPr>
          <w:rFonts w:ascii="宋体" w:hAnsi="宋体" w:cs="宋体"/>
          <w:color w:val="auto"/>
          <w:sz w:val="24"/>
          <w:szCs w:val="24"/>
          <w:highlight w:val="none"/>
        </w:rPr>
      </w:pPr>
      <w:bookmarkStart w:id="139" w:name="_Toc246996188"/>
      <w:bookmarkStart w:id="140" w:name="_Toc247085702"/>
      <w:bookmarkStart w:id="141" w:name="_Toc107479215"/>
      <w:bookmarkStart w:id="142" w:name="_Toc179632561"/>
      <w:bookmarkStart w:id="143" w:name="_Toc2275"/>
      <w:bookmarkStart w:id="144" w:name="_Toc152042319"/>
      <w:bookmarkStart w:id="145" w:name="_Toc144974511"/>
      <w:bookmarkStart w:id="146" w:name="_Toc147994704"/>
      <w:bookmarkStart w:id="147" w:name="_Toc152045543"/>
      <w:bookmarkStart w:id="148" w:name="_Toc246996931"/>
      <w:r>
        <w:rPr>
          <w:rFonts w:hint="eastAsia" w:ascii="宋体" w:hAnsi="宋体" w:cs="宋体"/>
          <w:color w:val="auto"/>
          <w:sz w:val="24"/>
          <w:szCs w:val="24"/>
          <w:highlight w:val="none"/>
        </w:rPr>
        <w:t>2.1 竞争性谈判文件的组成</w:t>
      </w:r>
      <w:bookmarkEnd w:id="139"/>
      <w:bookmarkEnd w:id="140"/>
      <w:bookmarkEnd w:id="141"/>
      <w:bookmarkEnd w:id="142"/>
      <w:bookmarkEnd w:id="143"/>
      <w:bookmarkEnd w:id="144"/>
      <w:bookmarkEnd w:id="145"/>
      <w:bookmarkEnd w:id="146"/>
      <w:bookmarkEnd w:id="147"/>
      <w:bookmarkEnd w:id="148"/>
    </w:p>
    <w:p>
      <w:pPr>
        <w:spacing w:line="360" w:lineRule="auto"/>
        <w:rPr>
          <w:rFonts w:ascii="宋体" w:hAnsi="宋体" w:cs="宋体"/>
          <w:color w:val="auto"/>
          <w:sz w:val="24"/>
          <w:highlight w:val="none"/>
        </w:rPr>
      </w:pPr>
      <w:r>
        <w:rPr>
          <w:rFonts w:hint="eastAsia" w:ascii="宋体" w:hAnsi="宋体" w:cs="宋体"/>
          <w:color w:val="auto"/>
          <w:sz w:val="24"/>
          <w:highlight w:val="none"/>
        </w:rPr>
        <w:t>　　2.1.1 本竞争性谈判文件包括：</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）报价人须知；</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）评审办法；</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）合同条款及格式；</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 xml:space="preserve">）工程量清单； </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）图纸；</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 xml:space="preserve">）技术标准和要求； </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）报价文件部分格式；</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）报价人须知前附表规定的其他材料。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根据本章第1.10款、第2.2款和第2.3款对竞争性谈判文件所作的澄清、修改，构成竞争性谈判文件的组成部分。</w:t>
      </w:r>
    </w:p>
    <w:p>
      <w:pPr>
        <w:pStyle w:val="5"/>
        <w:spacing w:before="0" w:after="0" w:line="360" w:lineRule="auto"/>
        <w:rPr>
          <w:rFonts w:ascii="宋体" w:hAnsi="宋体" w:cs="宋体"/>
          <w:color w:val="auto"/>
          <w:sz w:val="24"/>
          <w:szCs w:val="24"/>
          <w:highlight w:val="none"/>
        </w:rPr>
      </w:pPr>
      <w:bookmarkStart w:id="149" w:name="_Toc179632562"/>
      <w:bookmarkStart w:id="150" w:name="_Toc107479216"/>
      <w:bookmarkStart w:id="151" w:name="_Toc144974512"/>
      <w:bookmarkStart w:id="152" w:name="_Toc142"/>
      <w:bookmarkStart w:id="153" w:name="_Toc247085703"/>
      <w:bookmarkStart w:id="154" w:name="_Toc246996189"/>
      <w:bookmarkStart w:id="155" w:name="_Toc152045544"/>
      <w:bookmarkStart w:id="156" w:name="_Toc152042320"/>
      <w:bookmarkStart w:id="157" w:name="_Toc147994705"/>
      <w:bookmarkStart w:id="158" w:name="_Toc246996932"/>
      <w:r>
        <w:rPr>
          <w:rFonts w:hint="eastAsia" w:ascii="宋体" w:hAnsi="宋体" w:cs="宋体"/>
          <w:color w:val="auto"/>
          <w:sz w:val="24"/>
          <w:szCs w:val="24"/>
          <w:highlight w:val="none"/>
        </w:rPr>
        <w:t>2.2 竞争性谈判文件的澄清</w:t>
      </w:r>
      <w:bookmarkEnd w:id="149"/>
      <w:bookmarkEnd w:id="150"/>
      <w:bookmarkEnd w:id="151"/>
      <w:bookmarkEnd w:id="152"/>
      <w:bookmarkEnd w:id="153"/>
      <w:bookmarkEnd w:id="154"/>
      <w:bookmarkEnd w:id="155"/>
      <w:bookmarkEnd w:id="156"/>
      <w:bookmarkEnd w:id="157"/>
      <w:bookmarkEnd w:id="15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报价人应仔细阅读和检查竞争性谈判文件的全部内容。如发现缺页或附件不全，应及时向采购人提出，以便补齐。如有疑问，应在报价人须知前附表规定的时间前以书面形式（包括信函、电报、传真等可以有形地表现所载内容的形式，下同），要求采购人对竞争性谈判文件予以澄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2.2.2 竞争性谈判文件的澄清将以书面形式发给所有购买竞争性谈判文件的报价人，但不指明澄清问题的来源。如果澄清发出的时间距报价人须知前附表规定的报价文件递交截止时间不足3个工作日，并且澄清内容影响报价文件编制的，将相应延长报价文件递交截止时间。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报价人在收到澄清后，应在报价人须知前附表规定的时间内以书面形式通知采购人，确认已收到该澄清。</w:t>
      </w:r>
    </w:p>
    <w:p>
      <w:pPr>
        <w:pStyle w:val="5"/>
        <w:spacing w:before="0" w:after="0" w:line="360" w:lineRule="auto"/>
        <w:rPr>
          <w:rFonts w:ascii="宋体" w:hAnsi="宋体" w:cs="宋体"/>
          <w:color w:val="auto"/>
          <w:sz w:val="24"/>
          <w:szCs w:val="24"/>
          <w:highlight w:val="none"/>
        </w:rPr>
      </w:pPr>
      <w:bookmarkStart w:id="159" w:name="_Toc179632563"/>
      <w:bookmarkStart w:id="160" w:name="_Toc9065"/>
      <w:bookmarkStart w:id="161" w:name="_Toc107479217"/>
      <w:bookmarkStart w:id="162" w:name="_Toc246996190"/>
      <w:bookmarkStart w:id="163" w:name="_Toc247085704"/>
      <w:bookmarkStart w:id="164" w:name="_Toc246996933"/>
      <w:bookmarkStart w:id="165" w:name="_Toc147994706"/>
      <w:bookmarkStart w:id="166" w:name="_Toc152045545"/>
      <w:bookmarkStart w:id="167" w:name="_Toc144974513"/>
      <w:bookmarkStart w:id="168" w:name="_Toc152042321"/>
      <w:r>
        <w:rPr>
          <w:rFonts w:hint="eastAsia" w:ascii="宋体" w:hAnsi="宋体" w:cs="宋体"/>
          <w:color w:val="auto"/>
          <w:sz w:val="24"/>
          <w:szCs w:val="24"/>
          <w:highlight w:val="none"/>
        </w:rPr>
        <w:t>2.3 竞争性谈判文件的修改</w:t>
      </w:r>
      <w:bookmarkEnd w:id="159"/>
      <w:bookmarkEnd w:id="160"/>
      <w:bookmarkEnd w:id="161"/>
      <w:bookmarkEnd w:id="162"/>
      <w:bookmarkEnd w:id="163"/>
      <w:bookmarkEnd w:id="164"/>
      <w:bookmarkEnd w:id="165"/>
      <w:bookmarkEnd w:id="166"/>
      <w:bookmarkEnd w:id="167"/>
      <w:bookmarkEnd w:id="16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采购人可以书面形式修改竞争性谈判文件，并通知所有已购买竞争性谈判文件的报价人。但如果修改竞争性谈判文件的时间距报价文件递交截止时间不足3个工作日，并且修改内容影响报价文件编制的，将相应延长报价文件递交截止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报价人收到修改内容后，应在报价人须知前附表规定的时间内以书面形式通知采购人，确认已收到该修改。</w:t>
      </w:r>
    </w:p>
    <w:p>
      <w:pPr>
        <w:pStyle w:val="4"/>
        <w:spacing w:before="0" w:after="0" w:line="360" w:lineRule="auto"/>
        <w:rPr>
          <w:rFonts w:ascii="宋体" w:hAnsi="宋体" w:eastAsia="宋体" w:cs="宋体"/>
          <w:color w:val="auto"/>
          <w:sz w:val="24"/>
          <w:szCs w:val="24"/>
          <w:highlight w:val="none"/>
        </w:rPr>
      </w:pPr>
      <w:bookmarkStart w:id="169" w:name="_Toc179632564"/>
      <w:bookmarkStart w:id="170" w:name="_Toc246996191"/>
      <w:bookmarkStart w:id="171" w:name="_Toc246996934"/>
      <w:bookmarkStart w:id="172" w:name="_Toc247085705"/>
      <w:bookmarkStart w:id="173" w:name="_Toc152045546"/>
      <w:bookmarkStart w:id="174" w:name="_Toc152042322"/>
      <w:bookmarkStart w:id="175" w:name="_Toc144974514"/>
      <w:bookmarkStart w:id="176" w:name="_Toc147994707"/>
      <w:bookmarkStart w:id="177" w:name="_Toc107479218"/>
      <w:r>
        <w:rPr>
          <w:rFonts w:hint="eastAsia" w:ascii="宋体" w:hAnsi="宋体" w:eastAsia="宋体" w:cs="宋体"/>
          <w:color w:val="auto"/>
          <w:sz w:val="24"/>
          <w:szCs w:val="24"/>
          <w:highlight w:val="none"/>
        </w:rPr>
        <w:t xml:space="preserve">3. </w:t>
      </w:r>
      <w:bookmarkEnd w:id="169"/>
      <w:bookmarkEnd w:id="170"/>
      <w:bookmarkEnd w:id="171"/>
      <w:bookmarkEnd w:id="172"/>
      <w:bookmarkEnd w:id="173"/>
      <w:bookmarkEnd w:id="174"/>
      <w:bookmarkEnd w:id="175"/>
      <w:r>
        <w:rPr>
          <w:rFonts w:hint="eastAsia" w:ascii="宋体" w:hAnsi="宋体" w:eastAsia="宋体" w:cs="宋体"/>
          <w:color w:val="auto"/>
          <w:sz w:val="24"/>
          <w:szCs w:val="24"/>
          <w:highlight w:val="none"/>
        </w:rPr>
        <w:t>报价文件</w:t>
      </w:r>
      <w:bookmarkEnd w:id="176"/>
      <w:bookmarkEnd w:id="177"/>
    </w:p>
    <w:p>
      <w:pPr>
        <w:pStyle w:val="5"/>
        <w:spacing w:before="0" w:after="0" w:line="360" w:lineRule="auto"/>
        <w:rPr>
          <w:rFonts w:ascii="宋体" w:hAnsi="宋体" w:cs="宋体"/>
          <w:color w:val="auto"/>
          <w:sz w:val="24"/>
          <w:szCs w:val="24"/>
          <w:highlight w:val="none"/>
        </w:rPr>
      </w:pPr>
      <w:bookmarkStart w:id="178" w:name="_Toc246996935"/>
      <w:bookmarkStart w:id="179" w:name="_Toc152045547"/>
      <w:bookmarkStart w:id="180" w:name="_Toc27886"/>
      <w:bookmarkStart w:id="181" w:name="_Toc247085706"/>
      <w:bookmarkStart w:id="182" w:name="_Toc179632565"/>
      <w:bookmarkStart w:id="183" w:name="_Toc144974515"/>
      <w:bookmarkStart w:id="184" w:name="_Toc107479219"/>
      <w:bookmarkStart w:id="185" w:name="_Toc147994708"/>
      <w:bookmarkStart w:id="186" w:name="_Toc152042323"/>
      <w:bookmarkStart w:id="187" w:name="_Toc246996192"/>
      <w:r>
        <w:rPr>
          <w:rFonts w:hint="eastAsia" w:ascii="宋体" w:hAnsi="宋体" w:cs="宋体"/>
          <w:color w:val="auto"/>
          <w:sz w:val="24"/>
          <w:szCs w:val="24"/>
          <w:highlight w:val="none"/>
        </w:rPr>
        <w:t>3.1 报价文件的组成</w:t>
      </w:r>
      <w:bookmarkEnd w:id="178"/>
      <w:bookmarkEnd w:id="179"/>
      <w:bookmarkEnd w:id="180"/>
      <w:bookmarkEnd w:id="181"/>
      <w:bookmarkEnd w:id="182"/>
      <w:bookmarkEnd w:id="183"/>
      <w:bookmarkEnd w:id="184"/>
      <w:bookmarkEnd w:id="185"/>
      <w:bookmarkEnd w:id="186"/>
      <w:bookmarkEnd w:id="187"/>
    </w:p>
    <w:p>
      <w:pPr>
        <w:spacing w:line="480" w:lineRule="exact"/>
        <w:ind w:firstLine="482" w:firstLineChars="200"/>
        <w:rPr>
          <w:rFonts w:ascii="宋体" w:hAnsi="宋体" w:cs="宋体"/>
          <w:b/>
          <w:color w:val="auto"/>
          <w:kern w:val="0"/>
          <w:sz w:val="24"/>
          <w:highlight w:val="none"/>
          <w:shd w:val="pct10" w:color="auto" w:fill="FFFFFF"/>
        </w:rPr>
      </w:pPr>
      <w:r>
        <w:rPr>
          <w:rFonts w:hint="eastAsia" w:ascii="宋体" w:hAnsi="宋体" w:cs="宋体"/>
          <w:b/>
          <w:color w:val="auto"/>
          <w:sz w:val="24"/>
          <w:highlight w:val="none"/>
        </w:rPr>
        <w:t>3.1.1报价文件由商务部分、技术部分组成：</w:t>
      </w:r>
    </w:p>
    <w:p>
      <w:pPr>
        <w:numPr>
          <w:ilvl w:val="0"/>
          <w:numId w:val="4"/>
        </w:numPr>
        <w:overflowPunct w:val="0"/>
        <w:autoSpaceDE w:val="0"/>
        <w:autoSpaceDN w:val="0"/>
        <w:adjustRightInd w:val="0"/>
        <w:spacing w:line="480" w:lineRule="exact"/>
        <w:ind w:firstLine="424" w:firstLineChars="176"/>
        <w:jc w:val="left"/>
        <w:rPr>
          <w:rFonts w:ascii="宋体" w:hAnsi="宋体" w:cs="宋体"/>
          <w:b/>
          <w:color w:val="auto"/>
          <w:kern w:val="0"/>
          <w:sz w:val="24"/>
          <w:highlight w:val="none"/>
        </w:rPr>
      </w:pPr>
      <w:r>
        <w:rPr>
          <w:rFonts w:hint="eastAsia" w:ascii="宋体" w:hAnsi="宋体" w:cs="宋体"/>
          <w:b/>
          <w:color w:val="auto"/>
          <w:kern w:val="0"/>
          <w:sz w:val="24"/>
          <w:highlight w:val="none"/>
        </w:rPr>
        <w:t>商务部分：</w:t>
      </w:r>
    </w:p>
    <w:p>
      <w:pPr>
        <w:overflowPunct w:val="0"/>
        <w:autoSpaceDE w:val="0"/>
        <w:autoSpaceDN w:val="0"/>
        <w:adjustRightIn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1.报价函；</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2.唱价单；</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3.已标价工程量清单；</w:t>
      </w:r>
    </w:p>
    <w:p>
      <w:pPr>
        <w:autoSpaceDE w:val="0"/>
        <w:autoSpaceDN w:val="0"/>
        <w:adjustRightInd w:val="0"/>
        <w:spacing w:line="480" w:lineRule="exact"/>
        <w:ind w:firstLine="424" w:firstLineChars="176"/>
        <w:jc w:val="left"/>
        <w:rPr>
          <w:rFonts w:ascii="宋体" w:hAnsi="宋体" w:cs="宋体"/>
          <w:b/>
          <w:color w:val="auto"/>
          <w:kern w:val="0"/>
          <w:sz w:val="24"/>
          <w:highlight w:val="none"/>
        </w:rPr>
      </w:pPr>
      <w:r>
        <w:rPr>
          <w:rFonts w:hint="eastAsia" w:ascii="宋体" w:hAnsi="宋体" w:cs="宋体"/>
          <w:b/>
          <w:color w:val="auto"/>
          <w:kern w:val="0"/>
          <w:sz w:val="24"/>
          <w:highlight w:val="none"/>
        </w:rPr>
        <w:t>（2）技术部分：</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1.施工组织设计方案：无需提供；</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2.施工人员配备及施工力量安排：</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①项目管理班子配备情况表；</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②项目经理简历表；</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③项目技术负责人简历表；</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3.证明报价人资格的有关文件的复印件,主要包括：</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①法定代表人资格证明文件或授权委托书、授权人本单位的养老保险证明（</w:t>
      </w:r>
      <w:r>
        <w:rPr>
          <w:rFonts w:hint="eastAsia" w:ascii="宋体" w:hAnsi="宋体" w:cs="宋体"/>
          <w:b/>
          <w:color w:val="auto"/>
          <w:sz w:val="24"/>
          <w:highlight w:val="none"/>
        </w:rPr>
        <w:t>至少提供</w:t>
      </w:r>
      <w:r>
        <w:rPr>
          <w:rFonts w:hint="eastAsia" w:ascii="宋体" w:hAnsi="宋体" w:cs="宋体"/>
          <w:b/>
          <w:color w:val="auto"/>
          <w:sz w:val="24"/>
          <w:highlight w:val="none"/>
          <w:u w:val="single"/>
        </w:rPr>
        <w:t>2023年</w:t>
      </w:r>
      <w:r>
        <w:rPr>
          <w:rFonts w:ascii="宋体" w:hAnsi="宋体" w:cs="宋体"/>
          <w:b/>
          <w:color w:val="auto"/>
          <w:sz w:val="24"/>
          <w:highlight w:val="none"/>
          <w:u w:val="single"/>
        </w:rPr>
        <w:t>4</w:t>
      </w:r>
      <w:r>
        <w:rPr>
          <w:rFonts w:hint="eastAsia" w:ascii="宋体" w:hAnsi="宋体" w:cs="宋体"/>
          <w:b/>
          <w:color w:val="auto"/>
          <w:sz w:val="24"/>
          <w:highlight w:val="none"/>
          <w:u w:val="single"/>
        </w:rPr>
        <w:t>月-2023年</w:t>
      </w:r>
      <w:r>
        <w:rPr>
          <w:rFonts w:ascii="宋体" w:hAnsi="宋体" w:cs="宋体"/>
          <w:b/>
          <w:color w:val="auto"/>
          <w:sz w:val="24"/>
          <w:highlight w:val="none"/>
          <w:u w:val="single"/>
        </w:rPr>
        <w:t>9</w:t>
      </w:r>
      <w:r>
        <w:rPr>
          <w:rFonts w:hint="eastAsia" w:ascii="宋体" w:hAnsi="宋体" w:cs="宋体"/>
          <w:b/>
          <w:color w:val="auto"/>
          <w:sz w:val="24"/>
          <w:highlight w:val="none"/>
          <w:u w:val="single"/>
        </w:rPr>
        <w:t>月</w:t>
      </w:r>
      <w:r>
        <w:rPr>
          <w:rFonts w:hint="eastAsia" w:ascii="宋体" w:hAnsi="宋体" w:cs="宋体"/>
          <w:color w:val="auto"/>
          <w:sz w:val="24"/>
          <w:highlight w:val="none"/>
        </w:rPr>
        <w:t>）；</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②企业法人营业执照、资质证书、安全生产许可证等；</w:t>
      </w:r>
    </w:p>
    <w:p>
      <w:pPr>
        <w:snapToGrid w:val="0"/>
        <w:spacing w:line="480" w:lineRule="exact"/>
        <w:ind w:firstLine="422" w:firstLineChars="176"/>
        <w:rPr>
          <w:rFonts w:ascii="宋体" w:hAnsi="宋体" w:cs="宋体"/>
          <w:color w:val="auto"/>
          <w:kern w:val="0"/>
          <w:sz w:val="24"/>
          <w:highlight w:val="none"/>
        </w:rPr>
      </w:pPr>
      <w:r>
        <w:rPr>
          <w:rFonts w:hint="eastAsia" w:ascii="宋体" w:hAnsi="宋体" w:cs="宋体"/>
          <w:color w:val="auto"/>
          <w:sz w:val="24"/>
          <w:highlight w:val="none"/>
        </w:rPr>
        <w:t>③报价人</w:t>
      </w:r>
      <w:r>
        <w:rPr>
          <w:rFonts w:hint="eastAsia" w:ascii="宋体" w:hAnsi="宋体" w:cs="宋体"/>
          <w:color w:val="auto"/>
          <w:kern w:val="0"/>
          <w:sz w:val="24"/>
          <w:highlight w:val="none"/>
        </w:rPr>
        <w:t>近三年内（</w:t>
      </w: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年</w:t>
      </w:r>
      <w:r>
        <w:rPr>
          <w:rFonts w:ascii="宋体" w:hAnsi="宋体" w:cs="宋体"/>
          <w:color w:val="auto"/>
          <w:kern w:val="0"/>
          <w:sz w:val="24"/>
          <w:highlight w:val="none"/>
          <w:u w:val="single"/>
        </w:rPr>
        <w:t>10</w:t>
      </w:r>
      <w:r>
        <w:rPr>
          <w:rFonts w:hint="eastAsia" w:ascii="宋体" w:hAnsi="宋体" w:cs="宋体"/>
          <w:color w:val="auto"/>
          <w:kern w:val="0"/>
          <w:sz w:val="24"/>
          <w:highlight w:val="none"/>
        </w:rPr>
        <w:t>月</w:t>
      </w:r>
      <w:r>
        <w:rPr>
          <w:rFonts w:ascii="宋体" w:hAnsi="宋体" w:cs="宋体"/>
          <w:color w:val="auto"/>
          <w:kern w:val="0"/>
          <w:sz w:val="24"/>
          <w:highlight w:val="none"/>
          <w:u w:val="single"/>
        </w:rPr>
        <w:t>1</w:t>
      </w:r>
      <w:r>
        <w:rPr>
          <w:rFonts w:hint="eastAsia" w:ascii="宋体" w:hAnsi="宋体" w:cs="宋体"/>
          <w:color w:val="auto"/>
          <w:kern w:val="0"/>
          <w:sz w:val="24"/>
          <w:highlight w:val="none"/>
        </w:rPr>
        <w:t>日起至今）承揽过拆除或装修工程施工业绩</w:t>
      </w:r>
      <w:r>
        <w:rPr>
          <w:rFonts w:hint="eastAsia" w:ascii="宋体" w:hAnsi="宋体" w:cs="宋体"/>
          <w:color w:val="auto"/>
          <w:sz w:val="24"/>
          <w:highlight w:val="none"/>
        </w:rPr>
        <w:t>【以</w:t>
      </w:r>
      <w:r>
        <w:rPr>
          <w:rFonts w:hint="eastAsia" w:ascii="宋体" w:hAnsi="宋体" w:cs="宋体"/>
          <w:color w:val="auto"/>
          <w:sz w:val="24"/>
          <w:highlight w:val="none"/>
          <w:u w:val="single"/>
        </w:rPr>
        <w:t>合同签订时间为准</w:t>
      </w:r>
      <w:r>
        <w:rPr>
          <w:rFonts w:hint="eastAsia" w:ascii="宋体" w:hAnsi="宋体" w:cs="宋体"/>
          <w:color w:val="auto"/>
          <w:kern w:val="0"/>
          <w:sz w:val="24"/>
          <w:highlight w:val="none"/>
        </w:rPr>
        <w:t>】；</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④项目经理注册证书及安全生产考核证书，本单位的养老保险证明（</w:t>
      </w:r>
      <w:r>
        <w:rPr>
          <w:rFonts w:hint="eastAsia" w:ascii="宋体" w:hAnsi="宋体" w:cs="宋体"/>
          <w:b/>
          <w:color w:val="auto"/>
          <w:sz w:val="24"/>
          <w:highlight w:val="none"/>
        </w:rPr>
        <w:t>至少提供</w:t>
      </w:r>
      <w:r>
        <w:rPr>
          <w:rFonts w:hint="eastAsia" w:ascii="宋体" w:hAnsi="宋体" w:cs="宋体"/>
          <w:b/>
          <w:color w:val="auto"/>
          <w:sz w:val="24"/>
          <w:highlight w:val="none"/>
          <w:u w:val="single"/>
        </w:rPr>
        <w:t>2023年</w:t>
      </w:r>
      <w:r>
        <w:rPr>
          <w:rFonts w:ascii="宋体" w:hAnsi="宋体" w:cs="宋体"/>
          <w:b/>
          <w:color w:val="auto"/>
          <w:sz w:val="24"/>
          <w:highlight w:val="none"/>
          <w:u w:val="single"/>
        </w:rPr>
        <w:t>4</w:t>
      </w:r>
      <w:r>
        <w:rPr>
          <w:rFonts w:hint="eastAsia" w:ascii="宋体" w:hAnsi="宋体" w:cs="宋体"/>
          <w:b/>
          <w:color w:val="auto"/>
          <w:sz w:val="24"/>
          <w:highlight w:val="none"/>
          <w:u w:val="single"/>
        </w:rPr>
        <w:t>月-2023年</w:t>
      </w:r>
      <w:r>
        <w:rPr>
          <w:rFonts w:ascii="宋体" w:hAnsi="宋体" w:cs="宋体"/>
          <w:b/>
          <w:color w:val="auto"/>
          <w:sz w:val="24"/>
          <w:highlight w:val="none"/>
          <w:u w:val="single"/>
        </w:rPr>
        <w:t>9</w:t>
      </w:r>
      <w:r>
        <w:rPr>
          <w:rFonts w:hint="eastAsia" w:ascii="宋体" w:hAnsi="宋体" w:cs="宋体"/>
          <w:b/>
          <w:color w:val="auto"/>
          <w:sz w:val="24"/>
          <w:highlight w:val="none"/>
          <w:u w:val="single"/>
        </w:rPr>
        <w:t>月</w:t>
      </w:r>
      <w:r>
        <w:rPr>
          <w:rFonts w:hint="eastAsia" w:ascii="宋体" w:hAnsi="宋体" w:cs="宋体"/>
          <w:color w:val="auto"/>
          <w:sz w:val="24"/>
          <w:highlight w:val="none"/>
        </w:rPr>
        <w:t>）；</w:t>
      </w:r>
    </w:p>
    <w:p>
      <w:pPr>
        <w:wordWrap w:val="0"/>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⑤报价人“中国执行信息公开网”网站（http://zxgk.court.gov.cn/shixin/）查询本单位未被列入失信被执行人的网页截图（截图时省份应选择全部，且体现时间，截图应加盖单位公章）及“信用中国”网站（https://www.creditchina.gov.cn/）查询未被列入税收违法黑名单（截图体现时间，加盖单位公章）；</w:t>
      </w:r>
    </w:p>
    <w:p>
      <w:pPr>
        <w:wordWrap w:val="0"/>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⑥报价人“</w:t>
      </w:r>
      <w:r>
        <w:rPr>
          <w:rFonts w:hint="eastAsia" w:ascii="宋体" w:hAnsi="宋体" w:cs="宋体"/>
          <w:color w:val="auto"/>
          <w:sz w:val="24"/>
          <w:highlight w:val="none"/>
          <w:shd w:val="clear" w:color="auto" w:fill="FFFFFF"/>
        </w:rPr>
        <w:t>近三年的财务状况</w:t>
      </w:r>
      <w:r>
        <w:rPr>
          <w:rFonts w:hint="eastAsia" w:ascii="宋体" w:hAnsi="宋体" w:cs="宋体"/>
          <w:color w:val="auto"/>
          <w:sz w:val="24"/>
          <w:highlight w:val="none"/>
        </w:rPr>
        <w:t>表”：无需提供。</w:t>
      </w:r>
    </w:p>
    <w:p>
      <w:pPr>
        <w:wordWrap w:val="0"/>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⑦本须知规定提交的其它资料。</w:t>
      </w:r>
    </w:p>
    <w:p>
      <w:pPr>
        <w:wordWrap w:val="0"/>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3.1.2报价人须知前附表规定的组成报价文件的其他材料及报价人认为需要提供的其他材料。</w:t>
      </w:r>
    </w:p>
    <w:p>
      <w:pPr>
        <w:snapToGrid w:val="0"/>
        <w:spacing w:line="48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报价人应使用竞争性谈判文件提供的格式，表格可以按同样格式扩展。在所提供表格格式之外，报价人可以增加自行设计的表格及内容，以便更详细全面地说明其能力。</w:t>
      </w:r>
    </w:p>
    <w:p>
      <w:pPr>
        <w:pStyle w:val="5"/>
        <w:spacing w:before="0" w:after="0" w:line="360" w:lineRule="auto"/>
        <w:rPr>
          <w:rFonts w:ascii="宋体" w:hAnsi="宋体" w:cs="宋体"/>
          <w:color w:val="auto"/>
          <w:sz w:val="24"/>
          <w:szCs w:val="24"/>
          <w:highlight w:val="none"/>
        </w:rPr>
      </w:pPr>
      <w:bookmarkStart w:id="188" w:name="_Toc2780"/>
      <w:bookmarkStart w:id="189" w:name="_Toc107479220"/>
      <w:bookmarkStart w:id="190" w:name="_Toc246996936"/>
      <w:bookmarkStart w:id="191" w:name="_Toc147994709"/>
      <w:bookmarkStart w:id="192" w:name="_Toc246996193"/>
      <w:bookmarkStart w:id="193" w:name="_Toc247085707"/>
      <w:bookmarkStart w:id="194" w:name="_Toc152042324"/>
      <w:bookmarkStart w:id="195" w:name="_Toc144974516"/>
      <w:bookmarkStart w:id="196" w:name="_Toc179632566"/>
      <w:bookmarkStart w:id="197" w:name="_Toc152045548"/>
      <w:r>
        <w:rPr>
          <w:rFonts w:hint="eastAsia" w:ascii="宋体" w:hAnsi="宋体" w:cs="宋体"/>
          <w:color w:val="auto"/>
          <w:sz w:val="24"/>
          <w:szCs w:val="24"/>
          <w:highlight w:val="none"/>
        </w:rPr>
        <w:t>3.2 谈判报价</w:t>
      </w:r>
      <w:bookmarkEnd w:id="188"/>
      <w:bookmarkEnd w:id="189"/>
      <w:bookmarkEnd w:id="190"/>
      <w:bookmarkEnd w:id="191"/>
      <w:bookmarkEnd w:id="192"/>
      <w:bookmarkEnd w:id="193"/>
      <w:bookmarkEnd w:id="194"/>
      <w:bookmarkEnd w:id="195"/>
      <w:bookmarkEnd w:id="196"/>
      <w:bookmarkEnd w:id="19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 报价人应按第四章“工程量清单”的要求进行报价。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报价人在报价文件递交截止时间前修改报价函中的总报价，应同时修改“已标价工程量清单”中的相应报价，报价总额为各分项金额之和。此修改须符合本章第4.3款的有关要求。</w:t>
      </w:r>
      <w:bookmarkStart w:id="198" w:name="_Toc152045549"/>
      <w:bookmarkStart w:id="199" w:name="_Toc144974517"/>
      <w:bookmarkStart w:id="200" w:name="_Toc152042325"/>
      <w:bookmarkStart w:id="201" w:name="_Toc17963256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 采购人设有控制价的，报价人的谈判总报价不得超过控制价，控制价或其计算方法在报价人须知前附表中载明。</w:t>
      </w:r>
    </w:p>
    <w:p>
      <w:pPr>
        <w:pStyle w:val="5"/>
        <w:spacing w:before="0" w:after="0" w:line="360" w:lineRule="auto"/>
        <w:rPr>
          <w:rFonts w:ascii="宋体" w:hAnsi="宋体" w:cs="宋体"/>
          <w:color w:val="auto"/>
          <w:sz w:val="24"/>
          <w:szCs w:val="24"/>
          <w:highlight w:val="none"/>
        </w:rPr>
      </w:pPr>
      <w:bookmarkStart w:id="202" w:name="_Toc247085708"/>
      <w:bookmarkStart w:id="203" w:name="_Toc246996937"/>
      <w:bookmarkStart w:id="204" w:name="_Toc246996194"/>
      <w:bookmarkStart w:id="205" w:name="_Toc31861"/>
      <w:bookmarkStart w:id="206" w:name="_Toc147994710"/>
      <w:bookmarkStart w:id="207" w:name="_Toc107479221"/>
      <w:r>
        <w:rPr>
          <w:rFonts w:hint="eastAsia" w:ascii="宋体" w:hAnsi="宋体" w:cs="宋体"/>
          <w:color w:val="auto"/>
          <w:sz w:val="24"/>
          <w:szCs w:val="24"/>
          <w:highlight w:val="none"/>
        </w:rPr>
        <w:t xml:space="preserve">3.3 </w:t>
      </w:r>
      <w:bookmarkEnd w:id="198"/>
      <w:bookmarkEnd w:id="199"/>
      <w:bookmarkEnd w:id="200"/>
      <w:bookmarkEnd w:id="201"/>
      <w:bookmarkEnd w:id="202"/>
      <w:bookmarkEnd w:id="203"/>
      <w:bookmarkEnd w:id="204"/>
      <w:bookmarkEnd w:id="205"/>
      <w:r>
        <w:rPr>
          <w:rFonts w:hint="eastAsia" w:ascii="宋体" w:hAnsi="宋体" w:cs="宋体"/>
          <w:color w:val="auto"/>
          <w:sz w:val="24"/>
          <w:szCs w:val="24"/>
          <w:highlight w:val="none"/>
        </w:rPr>
        <w:t>谈判有效期</w:t>
      </w:r>
      <w:bookmarkEnd w:id="206"/>
      <w:bookmarkEnd w:id="20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除报价人须知前附表另有规定外，谈判有效期为90天。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3.3.2在谈判有效期内，报价人撤销或修改其报价文件的，应承担竞争性谈判文件和法律规定的责任。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出现特殊情况需要延长谈判有效期的，采购人以书面形式通知所有报价人延长谈判有效期。报价人同意延长的，应相应延长其谈判保证金的有效期，但不得要求或被允许修改或撤销其报价文件；报价人拒绝延长的，其投标失效，但报价人有权收回其谈判保证金。</w:t>
      </w:r>
    </w:p>
    <w:p>
      <w:pPr>
        <w:pStyle w:val="5"/>
        <w:spacing w:before="0" w:after="0" w:line="360" w:lineRule="auto"/>
        <w:rPr>
          <w:rFonts w:ascii="宋体" w:hAnsi="宋体" w:cs="宋体"/>
          <w:color w:val="auto"/>
          <w:sz w:val="24"/>
          <w:szCs w:val="24"/>
          <w:highlight w:val="none"/>
        </w:rPr>
      </w:pPr>
      <w:bookmarkStart w:id="208" w:name="_Toc246996195"/>
      <w:bookmarkStart w:id="209" w:name="_Toc152042326"/>
      <w:bookmarkStart w:id="210" w:name="_Toc246996938"/>
      <w:bookmarkStart w:id="211" w:name="_Toc247085709"/>
      <w:bookmarkStart w:id="212" w:name="_Toc9195"/>
      <w:bookmarkStart w:id="213" w:name="_Toc144974518"/>
      <w:bookmarkStart w:id="214" w:name="_Toc152045550"/>
      <w:bookmarkStart w:id="215" w:name="_Toc179632568"/>
      <w:bookmarkStart w:id="216" w:name="_Toc147994711"/>
      <w:bookmarkStart w:id="217" w:name="_Toc107479222"/>
      <w:r>
        <w:rPr>
          <w:rFonts w:hint="eastAsia" w:ascii="宋体" w:hAnsi="宋体" w:cs="宋体"/>
          <w:color w:val="auto"/>
          <w:sz w:val="24"/>
          <w:szCs w:val="24"/>
          <w:highlight w:val="none"/>
        </w:rPr>
        <w:t xml:space="preserve">3.4 </w:t>
      </w:r>
      <w:bookmarkEnd w:id="208"/>
      <w:bookmarkEnd w:id="209"/>
      <w:bookmarkEnd w:id="210"/>
      <w:bookmarkEnd w:id="211"/>
      <w:bookmarkEnd w:id="212"/>
      <w:bookmarkEnd w:id="213"/>
      <w:bookmarkEnd w:id="214"/>
      <w:bookmarkEnd w:id="215"/>
      <w:r>
        <w:rPr>
          <w:rFonts w:hint="eastAsia" w:ascii="宋体" w:hAnsi="宋体" w:cs="宋体"/>
          <w:color w:val="auto"/>
          <w:sz w:val="24"/>
          <w:szCs w:val="24"/>
          <w:highlight w:val="none"/>
        </w:rPr>
        <w:t>谈判保证金</w:t>
      </w:r>
      <w:bookmarkEnd w:id="216"/>
      <w:bookmarkEnd w:id="21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报价人须知前附表规定递交谈判保证金的，报价人在递交报价文件的同时，应按报价人须知前附表规定的金额、担保形式或者事先经过采购人认可的谈判保证金格式递交谈判保证金，并作为其报价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报价人不按本章第3.4.1项要求提交谈判保证金的，竞争性谈判小组将否决其投标。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w:t>
      </w:r>
      <w:r>
        <w:rPr>
          <w:rFonts w:hint="eastAsia" w:ascii="宋体" w:hAnsi="宋体"/>
          <w:color w:val="auto"/>
          <w:sz w:val="24"/>
          <w:highlight w:val="none"/>
        </w:rPr>
        <w:t>成交通知书发出之日起5日内向未成交的报价人退还谈判保证金，采购人与成交报价人签订合同后5日内，向成交报价人退还谈判保证金；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3.4.4 有下列情形之一的，谈判保证金将不予退还： </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（1）报价人在规定的谈判有效期内撤销或修改其报价文件；</w:t>
      </w:r>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（2）成交报价人在收到成交通知书后，无正当理由拒签合同协议书或未按竞争性谈判文件规定提交履约保证金。</w:t>
      </w:r>
    </w:p>
    <w:p>
      <w:pPr>
        <w:pStyle w:val="5"/>
        <w:spacing w:before="0" w:after="0" w:line="360" w:lineRule="auto"/>
        <w:rPr>
          <w:rFonts w:ascii="宋体" w:hAnsi="宋体" w:cs="宋体"/>
          <w:color w:val="auto"/>
          <w:sz w:val="24"/>
          <w:szCs w:val="24"/>
          <w:highlight w:val="none"/>
        </w:rPr>
      </w:pPr>
      <w:bookmarkStart w:id="218" w:name="_Toc246996196"/>
      <w:bookmarkStart w:id="219" w:name="_Toc147994712"/>
      <w:bookmarkStart w:id="220" w:name="_Toc179632570"/>
      <w:bookmarkStart w:id="221" w:name="_Toc144974520"/>
      <w:bookmarkStart w:id="222" w:name="_Toc23927"/>
      <w:bookmarkStart w:id="223" w:name="_Toc246996939"/>
      <w:bookmarkStart w:id="224" w:name="_Toc152042328"/>
      <w:bookmarkStart w:id="225" w:name="_Toc247085710"/>
      <w:bookmarkStart w:id="226" w:name="_Toc107479223"/>
      <w:bookmarkStart w:id="227" w:name="_Toc152045552"/>
      <w:r>
        <w:rPr>
          <w:rFonts w:hint="eastAsia" w:ascii="宋体" w:hAnsi="宋体" w:cs="宋体"/>
          <w:color w:val="auto"/>
          <w:sz w:val="24"/>
          <w:szCs w:val="24"/>
          <w:highlight w:val="none"/>
        </w:rPr>
        <w:t>3.5 资格审查资料</w:t>
      </w:r>
      <w:bookmarkEnd w:id="218"/>
      <w:bookmarkEnd w:id="219"/>
      <w:bookmarkEnd w:id="220"/>
      <w:bookmarkEnd w:id="221"/>
      <w:bookmarkEnd w:id="222"/>
      <w:bookmarkEnd w:id="223"/>
      <w:bookmarkEnd w:id="224"/>
      <w:bookmarkEnd w:id="225"/>
      <w:bookmarkEnd w:id="226"/>
      <w:bookmarkEnd w:id="227"/>
    </w:p>
    <w:p>
      <w:pPr>
        <w:spacing w:line="360" w:lineRule="auto"/>
        <w:ind w:firstLine="480" w:firstLineChars="200"/>
        <w:rPr>
          <w:rFonts w:ascii="宋体" w:hAnsi="宋体" w:cs="宋体"/>
          <w:color w:val="auto"/>
          <w:sz w:val="24"/>
          <w:highlight w:val="none"/>
        </w:rPr>
      </w:pPr>
      <w:bookmarkStart w:id="228" w:name="_Toc29439"/>
      <w:bookmarkStart w:id="229" w:name="_Toc15429"/>
      <w:bookmarkStart w:id="230" w:name="_Toc4652"/>
      <w:bookmarkStart w:id="231" w:name="_Toc4095"/>
      <w:bookmarkStart w:id="232" w:name="_Toc1358"/>
      <w:bookmarkStart w:id="233" w:name="_Toc562"/>
      <w:bookmarkStart w:id="234" w:name="_Toc152045553"/>
      <w:bookmarkStart w:id="235" w:name="_Toc247085711"/>
      <w:bookmarkStart w:id="236" w:name="_Toc144974521"/>
      <w:bookmarkStart w:id="237" w:name="_Toc246996940"/>
      <w:bookmarkStart w:id="238" w:name="_Toc179632571"/>
      <w:bookmarkStart w:id="239" w:name="_Toc246996197"/>
      <w:bookmarkStart w:id="240" w:name="_Toc152042329"/>
      <w:r>
        <w:rPr>
          <w:rFonts w:hint="eastAsia" w:ascii="宋体" w:hAnsi="宋体" w:cs="宋体"/>
          <w:color w:val="auto"/>
          <w:sz w:val="24"/>
          <w:highlight w:val="none"/>
        </w:rPr>
        <w:t>详见 报价人须知3.1.1中“证明报价人资格的有关文件”部分的要求。</w:t>
      </w:r>
      <w:bookmarkEnd w:id="228"/>
      <w:bookmarkEnd w:id="229"/>
      <w:bookmarkEnd w:id="230"/>
      <w:bookmarkEnd w:id="231"/>
      <w:bookmarkEnd w:id="232"/>
      <w:bookmarkEnd w:id="233"/>
    </w:p>
    <w:p>
      <w:pPr>
        <w:pStyle w:val="5"/>
        <w:spacing w:before="0" w:after="0" w:line="360" w:lineRule="auto"/>
        <w:rPr>
          <w:rFonts w:ascii="宋体" w:hAnsi="宋体" w:cs="宋体"/>
          <w:color w:val="auto"/>
          <w:sz w:val="24"/>
          <w:szCs w:val="24"/>
          <w:highlight w:val="none"/>
        </w:rPr>
      </w:pPr>
      <w:bookmarkStart w:id="241" w:name="_Toc13840"/>
      <w:bookmarkStart w:id="242" w:name="_Toc147994713"/>
      <w:bookmarkStart w:id="243" w:name="_Toc107479224"/>
      <w:r>
        <w:rPr>
          <w:rFonts w:hint="eastAsia" w:ascii="宋体" w:hAnsi="宋体" w:cs="宋体"/>
          <w:color w:val="auto"/>
          <w:sz w:val="24"/>
          <w:szCs w:val="24"/>
          <w:highlight w:val="none"/>
        </w:rPr>
        <w:t>3.6报价文件的编制</w:t>
      </w:r>
      <w:bookmarkEnd w:id="241"/>
      <w:bookmarkEnd w:id="242"/>
      <w:bookmarkEnd w:id="24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3.6.1报价文件应按第七章“报价文件格式”进行编写，如有必要，可以增加附页，作为报价文件的组成部分。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报价文件应当对竞争性谈判文件有关工期、谈判有效期、质量要求、技术标准和要求、采购范围等实质性内容作出响应。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3.6.3报价文件应用不褪色的材料书写或打印，并由报价人的法定代表人或其委托代理人签名或盖单位章。委托代理人签名的，报价文件应附法定代表人签署的授权委托书。报价文件应尽量避免涂改、行间插字或删除。如果出现上述情况，改动之处应加盖单位章或由报价人的法定代表人或其授权的代理人签名确认。签名或盖章的具体要求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3.6.4 报价文件正本一份, 副本份数见报价人须知前附表。正本和副本的封面上应清楚地标记“正本”或“副本”的字样。当副本和正本不一致时，以正本为准。唱价单与报价文件正本有不一致之处，以唱价单为准。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3.6.5 报价文件的正本与副本应分别装订成册，具体装订要求见报价人须知前附表规定。</w:t>
      </w:r>
      <w:bookmarkEnd w:id="234"/>
      <w:bookmarkEnd w:id="235"/>
      <w:bookmarkEnd w:id="236"/>
      <w:bookmarkEnd w:id="237"/>
      <w:bookmarkEnd w:id="238"/>
      <w:bookmarkEnd w:id="239"/>
      <w:bookmarkEnd w:id="240"/>
      <w:bookmarkStart w:id="244" w:name="_Toc246996199"/>
      <w:bookmarkStart w:id="245" w:name="_Toc179632573"/>
      <w:bookmarkStart w:id="246" w:name="_Toc152045555"/>
      <w:bookmarkStart w:id="247" w:name="_Toc152042331"/>
      <w:bookmarkStart w:id="248" w:name="_Toc247085713"/>
      <w:bookmarkStart w:id="249" w:name="_Toc144974523"/>
      <w:bookmarkStart w:id="250" w:name="_Toc246996942"/>
    </w:p>
    <w:p>
      <w:pPr>
        <w:pStyle w:val="4"/>
        <w:spacing w:before="0" w:after="0" w:line="360" w:lineRule="auto"/>
        <w:rPr>
          <w:rFonts w:ascii="宋体" w:hAnsi="宋体" w:eastAsia="宋体" w:cs="宋体"/>
          <w:color w:val="auto"/>
          <w:sz w:val="24"/>
          <w:szCs w:val="24"/>
          <w:highlight w:val="none"/>
        </w:rPr>
      </w:pPr>
      <w:bookmarkStart w:id="251" w:name="_Toc107479225"/>
      <w:bookmarkStart w:id="252" w:name="_Toc147994714"/>
      <w:r>
        <w:rPr>
          <w:rFonts w:hint="eastAsia" w:ascii="宋体" w:hAnsi="宋体" w:eastAsia="宋体" w:cs="宋体"/>
          <w:color w:val="auto"/>
          <w:sz w:val="24"/>
          <w:szCs w:val="24"/>
          <w:highlight w:val="none"/>
        </w:rPr>
        <w:t xml:space="preserve">4. </w:t>
      </w:r>
      <w:bookmarkEnd w:id="244"/>
      <w:bookmarkEnd w:id="245"/>
      <w:bookmarkEnd w:id="246"/>
      <w:bookmarkEnd w:id="247"/>
      <w:bookmarkEnd w:id="248"/>
      <w:bookmarkEnd w:id="249"/>
      <w:bookmarkEnd w:id="250"/>
      <w:r>
        <w:rPr>
          <w:rFonts w:hint="eastAsia" w:ascii="宋体" w:hAnsi="宋体" w:eastAsia="宋体" w:cs="宋体"/>
          <w:color w:val="auto"/>
          <w:sz w:val="24"/>
          <w:szCs w:val="24"/>
          <w:highlight w:val="none"/>
        </w:rPr>
        <w:t>提交报价文件</w:t>
      </w:r>
      <w:bookmarkEnd w:id="251"/>
      <w:bookmarkEnd w:id="252"/>
    </w:p>
    <w:p>
      <w:pPr>
        <w:pStyle w:val="5"/>
        <w:spacing w:before="0" w:after="0" w:line="360" w:lineRule="auto"/>
        <w:rPr>
          <w:rFonts w:ascii="宋体" w:hAnsi="宋体" w:cs="宋体"/>
          <w:color w:val="auto"/>
          <w:sz w:val="24"/>
          <w:szCs w:val="24"/>
          <w:highlight w:val="none"/>
        </w:rPr>
      </w:pPr>
      <w:bookmarkStart w:id="253" w:name="_Toc152042332"/>
      <w:bookmarkStart w:id="254" w:name="_Toc246996943"/>
      <w:bookmarkStart w:id="255" w:name="_Toc107479226"/>
      <w:bookmarkStart w:id="256" w:name="_Toc144974524"/>
      <w:bookmarkStart w:id="257" w:name="_Toc13285"/>
      <w:bookmarkStart w:id="258" w:name="_Toc179632574"/>
      <w:bookmarkStart w:id="259" w:name="_Toc152045556"/>
      <w:bookmarkStart w:id="260" w:name="_Toc246996200"/>
      <w:bookmarkStart w:id="261" w:name="_Toc147994715"/>
      <w:bookmarkStart w:id="262" w:name="_Toc247085714"/>
      <w:r>
        <w:rPr>
          <w:rFonts w:hint="eastAsia" w:ascii="宋体" w:hAnsi="宋体" w:cs="宋体"/>
          <w:color w:val="auto"/>
          <w:sz w:val="24"/>
          <w:szCs w:val="24"/>
          <w:highlight w:val="none"/>
        </w:rPr>
        <w:t>4.1 报价文件的密封和标记</w:t>
      </w:r>
      <w:bookmarkEnd w:id="253"/>
      <w:bookmarkEnd w:id="254"/>
      <w:bookmarkEnd w:id="255"/>
      <w:bookmarkEnd w:id="256"/>
      <w:bookmarkEnd w:id="257"/>
      <w:bookmarkEnd w:id="258"/>
      <w:bookmarkEnd w:id="259"/>
      <w:bookmarkEnd w:id="260"/>
      <w:bookmarkEnd w:id="261"/>
      <w:bookmarkEnd w:id="262"/>
    </w:p>
    <w:p>
      <w:pPr>
        <w:spacing w:line="360" w:lineRule="auto"/>
        <w:ind w:firstLine="480" w:firstLineChars="200"/>
        <w:rPr>
          <w:rFonts w:ascii="宋体" w:hAnsi="宋体" w:cs="宋体"/>
          <w:color w:val="auto"/>
          <w:sz w:val="24"/>
          <w:highlight w:val="none"/>
        </w:rPr>
      </w:pPr>
      <w:bookmarkStart w:id="263" w:name="_Toc152045557"/>
      <w:bookmarkStart w:id="264" w:name="_Toc144974525"/>
      <w:bookmarkStart w:id="265" w:name="_Toc246996201"/>
      <w:bookmarkStart w:id="266" w:name="_Toc247085715"/>
      <w:bookmarkStart w:id="267" w:name="_Toc152042333"/>
      <w:bookmarkStart w:id="268" w:name="_Toc179632575"/>
      <w:bookmarkStart w:id="269" w:name="_Toc246996944"/>
      <w:r>
        <w:rPr>
          <w:rFonts w:hint="eastAsia" w:ascii="宋体" w:hAnsi="宋体" w:cs="宋体"/>
          <w:color w:val="auto"/>
          <w:sz w:val="24"/>
          <w:highlight w:val="none"/>
        </w:rPr>
        <w:t>4.1.1 报价文件应进行包装、加贴封条，并在封套的封口处加盖报价人单位章。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报价文件封套上应写明的内容见报价人须知前附表。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未按本章第4.1.1项或第4.1.2项要求密封和加写标记的报价文件，采购人应予拒收。</w:t>
      </w:r>
    </w:p>
    <w:p>
      <w:pPr>
        <w:pStyle w:val="5"/>
        <w:spacing w:before="0" w:after="0" w:line="360" w:lineRule="auto"/>
        <w:rPr>
          <w:rFonts w:ascii="宋体" w:hAnsi="宋体" w:cs="宋体"/>
          <w:color w:val="auto"/>
          <w:sz w:val="24"/>
          <w:szCs w:val="24"/>
          <w:highlight w:val="none"/>
        </w:rPr>
      </w:pPr>
      <w:bookmarkStart w:id="270" w:name="_Toc1557"/>
      <w:bookmarkStart w:id="271" w:name="_Toc107479227"/>
      <w:bookmarkStart w:id="272" w:name="_Toc147994716"/>
      <w:r>
        <w:rPr>
          <w:rFonts w:hint="eastAsia" w:ascii="宋体" w:hAnsi="宋体" w:cs="宋体"/>
          <w:color w:val="auto"/>
          <w:sz w:val="24"/>
          <w:szCs w:val="24"/>
          <w:highlight w:val="none"/>
        </w:rPr>
        <w:t>4.2 报价文件的递交</w:t>
      </w:r>
      <w:bookmarkEnd w:id="263"/>
      <w:bookmarkEnd w:id="264"/>
      <w:bookmarkEnd w:id="265"/>
      <w:bookmarkEnd w:id="266"/>
      <w:bookmarkEnd w:id="267"/>
      <w:bookmarkEnd w:id="268"/>
      <w:bookmarkEnd w:id="269"/>
      <w:bookmarkEnd w:id="270"/>
      <w:bookmarkEnd w:id="271"/>
      <w:bookmarkEnd w:id="27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 报价人应在本章第2.2.2项规定的报价文件递交截止时间前递交报价文件。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报价人递交报价文件的地点：见报价人须知前附表。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 除报价人须知前附表另有规定外，报价人所递交的报价文件不予退还。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 采购人收到报价文件后，向报价人出具签收凭证。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4.2.5 逾期送达的或者未送达指定地点的报价文件，采购人不予受理。</w:t>
      </w:r>
    </w:p>
    <w:p>
      <w:pPr>
        <w:pStyle w:val="5"/>
        <w:spacing w:before="0" w:after="0" w:line="360" w:lineRule="auto"/>
        <w:rPr>
          <w:rFonts w:ascii="宋体" w:hAnsi="宋体" w:cs="宋体"/>
          <w:color w:val="auto"/>
          <w:sz w:val="24"/>
          <w:szCs w:val="24"/>
          <w:highlight w:val="none"/>
        </w:rPr>
      </w:pPr>
      <w:bookmarkStart w:id="273" w:name="_Toc107479228"/>
      <w:bookmarkStart w:id="274" w:name="_Toc7407"/>
      <w:bookmarkStart w:id="275" w:name="_Toc152045558"/>
      <w:bookmarkStart w:id="276" w:name="_Toc246996202"/>
      <w:bookmarkStart w:id="277" w:name="_Toc144974526"/>
      <w:bookmarkStart w:id="278" w:name="_Toc247085716"/>
      <w:bookmarkStart w:id="279" w:name="_Toc179632576"/>
      <w:bookmarkStart w:id="280" w:name="_Toc152042334"/>
      <w:bookmarkStart w:id="281" w:name="_Toc246996945"/>
      <w:bookmarkStart w:id="282" w:name="_Toc147994717"/>
      <w:r>
        <w:rPr>
          <w:rFonts w:hint="eastAsia" w:ascii="宋体" w:hAnsi="宋体" w:cs="宋体"/>
          <w:color w:val="auto"/>
          <w:sz w:val="24"/>
          <w:szCs w:val="24"/>
          <w:highlight w:val="none"/>
        </w:rPr>
        <w:t>4.3 报价文件的修改与撤回</w:t>
      </w:r>
      <w:bookmarkEnd w:id="273"/>
      <w:bookmarkEnd w:id="274"/>
      <w:bookmarkEnd w:id="275"/>
      <w:bookmarkEnd w:id="276"/>
      <w:bookmarkEnd w:id="277"/>
      <w:bookmarkEnd w:id="278"/>
      <w:bookmarkEnd w:id="279"/>
      <w:bookmarkEnd w:id="280"/>
      <w:bookmarkEnd w:id="281"/>
      <w:bookmarkEnd w:id="28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在本章第2.2.2项规定的报价文件递交截止时间前，报价人可以修改或撤回已递交的报价文件，但应以书面形式通知采购人。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报价人修改或撤回已递交报价文件的书面通知应按照本章第3.6.3项的要求签名或盖章。采购人收到书面通知后，向报价人出具签收凭证。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 报价人撤回报价文件的，采购人自收到报价人书面撤回通知之日起5日内退还已收取的谈判保证金。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 修改的内容为报价文件的组成部分。修改的报价文件应按照本章第3条、第4条规定进行编制、密封、标记和递交，并标明“修改”字样。</w:t>
      </w:r>
    </w:p>
    <w:p>
      <w:pPr>
        <w:pStyle w:val="4"/>
        <w:spacing w:before="0" w:after="0" w:line="360" w:lineRule="auto"/>
        <w:rPr>
          <w:rFonts w:ascii="宋体" w:hAnsi="宋体" w:eastAsia="宋体" w:cs="宋体"/>
          <w:color w:val="auto"/>
          <w:sz w:val="24"/>
          <w:szCs w:val="24"/>
          <w:highlight w:val="none"/>
        </w:rPr>
      </w:pPr>
      <w:bookmarkStart w:id="283" w:name="_Toc247085717"/>
      <w:bookmarkStart w:id="284" w:name="_Toc246996203"/>
      <w:bookmarkStart w:id="285" w:name="_Toc246996946"/>
      <w:bookmarkStart w:id="286" w:name="_Toc152045559"/>
      <w:bookmarkStart w:id="287" w:name="_Toc144974527"/>
      <w:bookmarkStart w:id="288" w:name="_Toc179632577"/>
      <w:bookmarkStart w:id="289" w:name="_Toc152042335"/>
      <w:bookmarkStart w:id="290" w:name="_Toc147994718"/>
      <w:bookmarkStart w:id="291" w:name="_Toc107479229"/>
      <w:r>
        <w:rPr>
          <w:rFonts w:hint="eastAsia" w:ascii="宋体" w:hAnsi="宋体" w:eastAsia="宋体" w:cs="宋体"/>
          <w:color w:val="auto"/>
          <w:sz w:val="24"/>
          <w:szCs w:val="24"/>
          <w:highlight w:val="none"/>
        </w:rPr>
        <w:t xml:space="preserve">5. </w:t>
      </w:r>
      <w:bookmarkEnd w:id="283"/>
      <w:bookmarkEnd w:id="284"/>
      <w:bookmarkEnd w:id="285"/>
      <w:bookmarkEnd w:id="286"/>
      <w:bookmarkEnd w:id="287"/>
      <w:bookmarkEnd w:id="288"/>
      <w:bookmarkEnd w:id="289"/>
      <w:r>
        <w:rPr>
          <w:rFonts w:hint="eastAsia" w:ascii="宋体" w:hAnsi="宋体" w:eastAsia="宋体" w:cs="宋体"/>
          <w:color w:val="auto"/>
          <w:sz w:val="24"/>
          <w:szCs w:val="24"/>
          <w:highlight w:val="none"/>
        </w:rPr>
        <w:t>竞争性谈判会议仪式</w:t>
      </w:r>
      <w:bookmarkEnd w:id="290"/>
      <w:bookmarkEnd w:id="291"/>
    </w:p>
    <w:p>
      <w:pPr>
        <w:pStyle w:val="5"/>
        <w:spacing w:before="0" w:after="0" w:line="360" w:lineRule="auto"/>
        <w:rPr>
          <w:rFonts w:ascii="宋体" w:hAnsi="宋体" w:cs="宋体"/>
          <w:color w:val="auto"/>
          <w:sz w:val="24"/>
          <w:szCs w:val="24"/>
          <w:highlight w:val="none"/>
        </w:rPr>
      </w:pPr>
      <w:bookmarkStart w:id="292" w:name="_Toc107479230"/>
      <w:bookmarkStart w:id="293" w:name="_Toc3012"/>
      <w:bookmarkStart w:id="294" w:name="_Toc152042336"/>
      <w:bookmarkStart w:id="295" w:name="_Toc246996947"/>
      <w:bookmarkStart w:id="296" w:name="_Toc247085718"/>
      <w:bookmarkStart w:id="297" w:name="_Toc144974528"/>
      <w:bookmarkStart w:id="298" w:name="_Toc246996204"/>
      <w:bookmarkStart w:id="299" w:name="_Toc179632578"/>
      <w:bookmarkStart w:id="300" w:name="_Toc152045560"/>
      <w:bookmarkStart w:id="301" w:name="_Toc147994719"/>
      <w:r>
        <w:rPr>
          <w:rFonts w:hint="eastAsia" w:ascii="宋体" w:hAnsi="宋体" w:cs="宋体"/>
          <w:color w:val="auto"/>
          <w:sz w:val="24"/>
          <w:szCs w:val="24"/>
          <w:highlight w:val="none"/>
        </w:rPr>
        <w:t>5.1 竞争性谈判会议仪式开始时间和地点</w:t>
      </w:r>
      <w:bookmarkEnd w:id="292"/>
      <w:bookmarkEnd w:id="293"/>
      <w:bookmarkEnd w:id="294"/>
      <w:bookmarkEnd w:id="295"/>
      <w:bookmarkEnd w:id="296"/>
      <w:bookmarkEnd w:id="297"/>
      <w:bookmarkEnd w:id="298"/>
      <w:bookmarkEnd w:id="299"/>
      <w:bookmarkEnd w:id="300"/>
      <w:bookmarkEnd w:id="30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采购人在本章第2.2.2项规定的报价文件递交截止时间（竞争性谈判会议仪式开始时间）和报价人须知前附表规定的地点公开举行谈判会议仪式，并邀请所有报价人的法定代表人或其委托代理人准时参加。</w:t>
      </w:r>
    </w:p>
    <w:p>
      <w:pPr>
        <w:pStyle w:val="5"/>
        <w:spacing w:before="0" w:after="0" w:line="360" w:lineRule="auto"/>
        <w:rPr>
          <w:rFonts w:ascii="宋体" w:hAnsi="宋体" w:cs="宋体"/>
          <w:color w:val="auto"/>
          <w:sz w:val="24"/>
          <w:szCs w:val="24"/>
          <w:highlight w:val="none"/>
        </w:rPr>
      </w:pPr>
      <w:bookmarkStart w:id="302" w:name="_Toc246996205"/>
      <w:bookmarkStart w:id="303" w:name="_Toc246996948"/>
      <w:bookmarkStart w:id="304" w:name="_Toc147994720"/>
      <w:bookmarkStart w:id="305" w:name="_Toc152042337"/>
      <w:bookmarkStart w:id="306" w:name="_Toc247085719"/>
      <w:bookmarkStart w:id="307" w:name="_Toc179632579"/>
      <w:bookmarkStart w:id="308" w:name="_Toc152045561"/>
      <w:bookmarkStart w:id="309" w:name="_Toc13257"/>
      <w:bookmarkStart w:id="310" w:name="_Toc144974529"/>
      <w:bookmarkStart w:id="311" w:name="_Toc107479231"/>
      <w:r>
        <w:rPr>
          <w:rFonts w:hint="eastAsia" w:ascii="宋体" w:hAnsi="宋体" w:cs="宋体"/>
          <w:color w:val="auto"/>
          <w:sz w:val="24"/>
          <w:szCs w:val="24"/>
          <w:highlight w:val="none"/>
        </w:rPr>
        <w:t>5.2 谈判会议仪式程序</w:t>
      </w:r>
      <w:bookmarkEnd w:id="302"/>
      <w:bookmarkEnd w:id="303"/>
      <w:bookmarkEnd w:id="304"/>
      <w:bookmarkEnd w:id="305"/>
      <w:bookmarkEnd w:id="306"/>
      <w:bookmarkEnd w:id="307"/>
      <w:bookmarkEnd w:id="308"/>
      <w:bookmarkEnd w:id="309"/>
      <w:bookmarkEnd w:id="310"/>
      <w:bookmarkEnd w:id="31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主持人按下列程序举行竞争性谈判会议仪式：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（1）宣读现场纪律；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（2）公布在报价文件递交截止时间前递交报价文件的报价人名称；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（3）宣布采购（代理）人、唱价人、记录人等相关单位；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（4）核验各报价人的法定代表人证明或法人授权委托书及其身份证，授权代表本单位的养老保险证明。并宣布核验结果；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（5）由采购人（或其委托的公证人）及报价人推选的代表检查报价文件的密封情况并予以签名确认；并宣布核验结果；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（6）公布报价人名称、项目名称、谈判报价及其他内容，并记录在案；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（7）采购（代理）人、唱价人应对《报价记录表》全部内容进行签名确认后封存；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（8）询问报价人对本次竞争性谈判会议仪式是否有异议，如有异议现场提出。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（9）竞争性谈判会议仪式结束。</w:t>
      </w:r>
    </w:p>
    <w:p>
      <w:pPr>
        <w:pStyle w:val="5"/>
        <w:spacing w:before="0" w:after="0" w:line="360" w:lineRule="auto"/>
        <w:rPr>
          <w:rFonts w:ascii="宋体" w:hAnsi="宋体" w:cs="宋体"/>
          <w:color w:val="auto"/>
          <w:sz w:val="24"/>
          <w:szCs w:val="24"/>
          <w:highlight w:val="none"/>
        </w:rPr>
      </w:pPr>
      <w:bookmarkStart w:id="312" w:name="_Toc147994721"/>
      <w:bookmarkStart w:id="313" w:name="_Toc23329"/>
      <w:bookmarkStart w:id="314" w:name="_Toc107479232"/>
      <w:r>
        <w:rPr>
          <w:rFonts w:hint="eastAsia" w:ascii="宋体" w:hAnsi="宋体" w:cs="宋体"/>
          <w:color w:val="auto"/>
          <w:sz w:val="24"/>
          <w:szCs w:val="24"/>
          <w:highlight w:val="none"/>
        </w:rPr>
        <w:t>5.3 竞争性谈判会议仪式异议</w:t>
      </w:r>
      <w:bookmarkEnd w:id="312"/>
      <w:bookmarkEnd w:id="313"/>
      <w:bookmarkEnd w:id="314"/>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报价人对竞争性谈判会议仪式有异议的，应当在会议仪式现场提出，采购人当场作出答复，并制作记录。</w:t>
      </w:r>
    </w:p>
    <w:p>
      <w:pPr>
        <w:pStyle w:val="4"/>
        <w:spacing w:before="0" w:after="0" w:line="360" w:lineRule="auto"/>
        <w:rPr>
          <w:rFonts w:ascii="宋体" w:hAnsi="宋体" w:eastAsia="宋体" w:cs="宋体"/>
          <w:color w:val="auto"/>
          <w:sz w:val="24"/>
          <w:szCs w:val="24"/>
          <w:highlight w:val="none"/>
        </w:rPr>
      </w:pPr>
      <w:bookmarkStart w:id="315" w:name="_Toc247085720"/>
      <w:bookmarkStart w:id="316" w:name="_Toc144974530"/>
      <w:bookmarkStart w:id="317" w:name="_Toc246996949"/>
      <w:bookmarkStart w:id="318" w:name="_Toc152042338"/>
      <w:bookmarkStart w:id="319" w:name="_Toc152045562"/>
      <w:bookmarkStart w:id="320" w:name="_Toc179632580"/>
      <w:bookmarkStart w:id="321" w:name="_Toc246996206"/>
      <w:bookmarkStart w:id="322" w:name="_Toc147994722"/>
      <w:bookmarkStart w:id="323" w:name="_Toc107479233"/>
      <w:r>
        <w:rPr>
          <w:rFonts w:hint="eastAsia" w:ascii="宋体" w:hAnsi="宋体" w:eastAsia="宋体" w:cs="宋体"/>
          <w:color w:val="auto"/>
          <w:sz w:val="24"/>
          <w:szCs w:val="24"/>
          <w:highlight w:val="none"/>
        </w:rPr>
        <w:t xml:space="preserve">6. </w:t>
      </w:r>
      <w:bookmarkEnd w:id="315"/>
      <w:bookmarkEnd w:id="316"/>
      <w:bookmarkEnd w:id="317"/>
      <w:bookmarkEnd w:id="318"/>
      <w:bookmarkEnd w:id="319"/>
      <w:bookmarkEnd w:id="320"/>
      <w:bookmarkEnd w:id="321"/>
      <w:r>
        <w:rPr>
          <w:rFonts w:hint="eastAsia" w:ascii="宋体" w:hAnsi="宋体" w:eastAsia="宋体" w:cs="宋体"/>
          <w:color w:val="auto"/>
          <w:sz w:val="24"/>
          <w:szCs w:val="24"/>
          <w:highlight w:val="none"/>
        </w:rPr>
        <w:t>评审</w:t>
      </w:r>
      <w:bookmarkEnd w:id="322"/>
      <w:bookmarkEnd w:id="323"/>
    </w:p>
    <w:p>
      <w:pPr>
        <w:pStyle w:val="5"/>
        <w:spacing w:before="0" w:after="0" w:line="360" w:lineRule="auto"/>
        <w:rPr>
          <w:rFonts w:ascii="宋体" w:hAnsi="宋体" w:cs="宋体"/>
          <w:color w:val="auto"/>
          <w:sz w:val="24"/>
          <w:szCs w:val="24"/>
          <w:highlight w:val="none"/>
        </w:rPr>
      </w:pPr>
      <w:bookmarkStart w:id="324" w:name="_Toc152045563"/>
      <w:bookmarkStart w:id="325" w:name="_Toc179632581"/>
      <w:bookmarkStart w:id="326" w:name="_Toc144974531"/>
      <w:bookmarkStart w:id="327" w:name="_Toc152042339"/>
      <w:bookmarkStart w:id="328" w:name="_Toc246996207"/>
      <w:bookmarkStart w:id="329" w:name="_Toc8890"/>
      <w:bookmarkStart w:id="330" w:name="_Toc246996950"/>
      <w:bookmarkStart w:id="331" w:name="_Toc247085721"/>
      <w:bookmarkStart w:id="332" w:name="_Toc107479234"/>
      <w:bookmarkStart w:id="333" w:name="_Toc147994723"/>
      <w:r>
        <w:rPr>
          <w:rFonts w:hint="eastAsia" w:ascii="宋体" w:hAnsi="宋体" w:cs="宋体"/>
          <w:color w:val="auto"/>
          <w:sz w:val="24"/>
          <w:szCs w:val="24"/>
          <w:highlight w:val="none"/>
        </w:rPr>
        <w:t xml:space="preserve">6.1 </w:t>
      </w:r>
      <w:bookmarkEnd w:id="324"/>
      <w:bookmarkEnd w:id="325"/>
      <w:bookmarkEnd w:id="326"/>
      <w:bookmarkEnd w:id="327"/>
      <w:bookmarkEnd w:id="328"/>
      <w:bookmarkEnd w:id="329"/>
      <w:bookmarkEnd w:id="330"/>
      <w:bookmarkEnd w:id="331"/>
      <w:r>
        <w:rPr>
          <w:rFonts w:hint="eastAsia" w:ascii="宋体" w:hAnsi="宋体" w:cs="宋体"/>
          <w:color w:val="auto"/>
          <w:sz w:val="24"/>
          <w:szCs w:val="24"/>
          <w:highlight w:val="none"/>
        </w:rPr>
        <w:t>竞争性谈判小组</w:t>
      </w:r>
      <w:bookmarkEnd w:id="332"/>
      <w:bookmarkEnd w:id="33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6.1.1 评审由采购人依法组建的竞争性谈判小组负责。竞争性谈判小组由采购人或其委托的采购代理机构熟悉相关业务的代表，以及有关技术、经济等方面的专家组成。竞争性谈判小组成员人数以及技术、经济等方面专家的确定方式见报价人须知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竞争性谈判小组成员有下列情形之一的，应当回避：</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（1）报价人或报价人主要负责人的近亲属；</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（3）与报价人有经济利益关系；</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pPr>
        <w:spacing w:line="360" w:lineRule="auto"/>
        <w:ind w:firstLine="410" w:firstLineChars="171"/>
        <w:rPr>
          <w:rFonts w:ascii="宋体" w:hAnsi="宋体" w:cs="宋体"/>
          <w:color w:val="auto"/>
          <w:sz w:val="24"/>
          <w:highlight w:val="none"/>
        </w:rPr>
      </w:pPr>
      <w:r>
        <w:rPr>
          <w:rFonts w:hint="eastAsia" w:ascii="宋体" w:hAnsi="宋体" w:cs="宋体"/>
          <w:color w:val="auto"/>
          <w:sz w:val="24"/>
          <w:highlight w:val="none"/>
        </w:rPr>
        <w:t>（5）与报价人有其他利害关系。</w:t>
      </w:r>
    </w:p>
    <w:p>
      <w:pPr>
        <w:pStyle w:val="5"/>
        <w:spacing w:before="0" w:after="0" w:line="360" w:lineRule="auto"/>
        <w:rPr>
          <w:rFonts w:ascii="宋体" w:hAnsi="宋体" w:cs="宋体"/>
          <w:color w:val="auto"/>
          <w:sz w:val="24"/>
          <w:szCs w:val="24"/>
          <w:highlight w:val="none"/>
        </w:rPr>
      </w:pPr>
      <w:bookmarkStart w:id="334" w:name="_Toc247085722"/>
      <w:bookmarkStart w:id="335" w:name="_Toc144974532"/>
      <w:bookmarkStart w:id="336" w:name="_Toc15991"/>
      <w:bookmarkStart w:id="337" w:name="_Toc179632582"/>
      <w:bookmarkStart w:id="338" w:name="_Toc147994724"/>
      <w:bookmarkStart w:id="339" w:name="_Toc152045564"/>
      <w:bookmarkStart w:id="340" w:name="_Toc246996208"/>
      <w:bookmarkStart w:id="341" w:name="_Toc246996951"/>
      <w:bookmarkStart w:id="342" w:name="_Toc107479235"/>
      <w:bookmarkStart w:id="343" w:name="_Toc152042340"/>
      <w:r>
        <w:rPr>
          <w:rFonts w:hint="eastAsia" w:ascii="宋体" w:hAnsi="宋体" w:cs="宋体"/>
          <w:color w:val="auto"/>
          <w:sz w:val="24"/>
          <w:szCs w:val="24"/>
          <w:highlight w:val="none"/>
        </w:rPr>
        <w:t>6.2 评审原则</w:t>
      </w:r>
      <w:bookmarkEnd w:id="334"/>
      <w:bookmarkEnd w:id="335"/>
      <w:bookmarkEnd w:id="336"/>
      <w:bookmarkEnd w:id="337"/>
      <w:bookmarkEnd w:id="338"/>
      <w:bookmarkEnd w:id="339"/>
      <w:bookmarkEnd w:id="340"/>
      <w:bookmarkEnd w:id="341"/>
      <w:bookmarkEnd w:id="342"/>
      <w:bookmarkEnd w:id="34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评审活动遵循公平、公正、科学和择优的原则。</w:t>
      </w:r>
    </w:p>
    <w:p>
      <w:pPr>
        <w:pStyle w:val="5"/>
        <w:spacing w:before="0" w:after="0" w:line="360" w:lineRule="auto"/>
        <w:rPr>
          <w:rFonts w:ascii="宋体" w:hAnsi="宋体" w:cs="宋体"/>
          <w:color w:val="auto"/>
          <w:sz w:val="24"/>
          <w:szCs w:val="24"/>
          <w:highlight w:val="none"/>
        </w:rPr>
      </w:pPr>
      <w:bookmarkStart w:id="344" w:name="_Toc152042341"/>
      <w:bookmarkStart w:id="345" w:name="_Toc144974533"/>
      <w:bookmarkStart w:id="346" w:name="_Toc30625"/>
      <w:bookmarkStart w:id="347" w:name="_Toc246996952"/>
      <w:bookmarkStart w:id="348" w:name="_Toc246996209"/>
      <w:bookmarkStart w:id="349" w:name="_Toc247085723"/>
      <w:bookmarkStart w:id="350" w:name="_Toc179632583"/>
      <w:bookmarkStart w:id="351" w:name="_Toc152045565"/>
      <w:bookmarkStart w:id="352" w:name="_Toc107479236"/>
      <w:bookmarkStart w:id="353" w:name="_Toc147994725"/>
      <w:r>
        <w:rPr>
          <w:rFonts w:hint="eastAsia" w:ascii="宋体" w:hAnsi="宋体" w:cs="宋体"/>
          <w:color w:val="auto"/>
          <w:sz w:val="24"/>
          <w:szCs w:val="24"/>
          <w:highlight w:val="none"/>
        </w:rPr>
        <w:t xml:space="preserve">6.3 </w:t>
      </w:r>
      <w:bookmarkEnd w:id="344"/>
      <w:bookmarkEnd w:id="345"/>
      <w:bookmarkEnd w:id="346"/>
      <w:bookmarkEnd w:id="347"/>
      <w:bookmarkEnd w:id="348"/>
      <w:bookmarkEnd w:id="349"/>
      <w:bookmarkEnd w:id="350"/>
      <w:bookmarkEnd w:id="351"/>
      <w:r>
        <w:rPr>
          <w:rFonts w:hint="eastAsia" w:ascii="宋体" w:hAnsi="宋体" w:cs="宋体"/>
          <w:color w:val="auto"/>
          <w:sz w:val="24"/>
          <w:szCs w:val="24"/>
          <w:highlight w:val="none"/>
        </w:rPr>
        <w:t>评审</w:t>
      </w:r>
      <w:bookmarkEnd w:id="352"/>
      <w:bookmarkEnd w:id="35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竞争性谈判小组按照第二章“评审办法”规定的方法、评审因素、标准和程序对报价文件进行评审。第二章“评审办法”没有规定的方法、评审因素和标准，不作为评审依据。</w:t>
      </w:r>
    </w:p>
    <w:p>
      <w:pPr>
        <w:pStyle w:val="4"/>
        <w:spacing w:before="0" w:after="0" w:line="360" w:lineRule="auto"/>
        <w:rPr>
          <w:rFonts w:ascii="宋体" w:hAnsi="宋体" w:eastAsia="宋体" w:cs="宋体"/>
          <w:color w:val="auto"/>
          <w:sz w:val="24"/>
          <w:szCs w:val="24"/>
          <w:highlight w:val="none"/>
        </w:rPr>
      </w:pPr>
      <w:bookmarkStart w:id="354" w:name="_Toc144974534"/>
      <w:bookmarkStart w:id="355" w:name="_Toc179632584"/>
      <w:bookmarkStart w:id="356" w:name="_Toc107479237"/>
      <w:bookmarkStart w:id="357" w:name="_Toc247085724"/>
      <w:bookmarkStart w:id="358" w:name="_Toc246996210"/>
      <w:bookmarkStart w:id="359" w:name="_Toc246996953"/>
      <w:bookmarkStart w:id="360" w:name="_Toc147994726"/>
      <w:bookmarkStart w:id="361" w:name="_Toc152042342"/>
      <w:bookmarkStart w:id="362" w:name="_Toc152045566"/>
      <w:r>
        <w:rPr>
          <w:rFonts w:hint="eastAsia" w:ascii="宋体" w:hAnsi="宋体" w:eastAsia="宋体" w:cs="宋体"/>
          <w:color w:val="auto"/>
          <w:sz w:val="24"/>
          <w:szCs w:val="24"/>
          <w:highlight w:val="none"/>
        </w:rPr>
        <w:t>7. 合同授予</w:t>
      </w:r>
      <w:bookmarkEnd w:id="354"/>
      <w:bookmarkEnd w:id="355"/>
      <w:bookmarkEnd w:id="356"/>
      <w:bookmarkEnd w:id="357"/>
      <w:bookmarkEnd w:id="358"/>
      <w:bookmarkEnd w:id="359"/>
      <w:bookmarkEnd w:id="360"/>
      <w:bookmarkEnd w:id="361"/>
      <w:bookmarkEnd w:id="362"/>
    </w:p>
    <w:p>
      <w:pPr>
        <w:pStyle w:val="5"/>
        <w:spacing w:before="0" w:after="0" w:line="360" w:lineRule="auto"/>
        <w:rPr>
          <w:rFonts w:ascii="宋体" w:hAnsi="宋体" w:cs="宋体"/>
          <w:color w:val="auto"/>
          <w:sz w:val="24"/>
          <w:szCs w:val="24"/>
          <w:highlight w:val="none"/>
        </w:rPr>
      </w:pPr>
      <w:bookmarkStart w:id="363" w:name="_Toc147994727"/>
      <w:bookmarkStart w:id="364" w:name="_Toc246996954"/>
      <w:bookmarkStart w:id="365" w:name="_Toc29885"/>
      <w:bookmarkStart w:id="366" w:name="_Toc144974535"/>
      <w:bookmarkStart w:id="367" w:name="_Toc246996211"/>
      <w:bookmarkStart w:id="368" w:name="_Toc152042343"/>
      <w:bookmarkStart w:id="369" w:name="_Toc152045567"/>
      <w:bookmarkStart w:id="370" w:name="_Toc247085725"/>
      <w:bookmarkStart w:id="371" w:name="_Toc107479238"/>
      <w:bookmarkStart w:id="372" w:name="_Toc179632585"/>
      <w:r>
        <w:rPr>
          <w:rFonts w:hint="eastAsia" w:ascii="宋体" w:hAnsi="宋体" w:cs="宋体"/>
          <w:color w:val="auto"/>
          <w:sz w:val="24"/>
          <w:szCs w:val="24"/>
          <w:highlight w:val="none"/>
        </w:rPr>
        <w:t>7.1 确定成交报价人方式</w:t>
      </w:r>
      <w:bookmarkEnd w:id="363"/>
      <w:bookmarkEnd w:id="364"/>
      <w:bookmarkEnd w:id="365"/>
      <w:bookmarkEnd w:id="366"/>
      <w:bookmarkEnd w:id="367"/>
      <w:bookmarkEnd w:id="368"/>
      <w:bookmarkEnd w:id="369"/>
      <w:bookmarkEnd w:id="370"/>
      <w:bookmarkEnd w:id="371"/>
      <w:bookmarkEnd w:id="37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除报价人须知前附表规定竞争性谈判小组直接确定成交报价人外，采购人依据竞争性谈判小组推荐的成交候选报价人确定成交报价人，竞争性谈判小组推荐成交候选报价人的人数见报价人须知前附表。</w:t>
      </w:r>
    </w:p>
    <w:p>
      <w:pPr>
        <w:pStyle w:val="5"/>
        <w:spacing w:before="0" w:after="0" w:line="360" w:lineRule="auto"/>
        <w:rPr>
          <w:rFonts w:ascii="宋体" w:hAnsi="宋体" w:cs="宋体"/>
          <w:color w:val="auto"/>
          <w:sz w:val="24"/>
          <w:szCs w:val="24"/>
          <w:highlight w:val="none"/>
        </w:rPr>
      </w:pPr>
      <w:bookmarkStart w:id="373" w:name="_Toc13969"/>
      <w:bookmarkStart w:id="374" w:name="_Toc107479239"/>
      <w:bookmarkStart w:id="375" w:name="_Toc147994728"/>
      <w:r>
        <w:rPr>
          <w:rFonts w:hint="eastAsia" w:ascii="宋体" w:hAnsi="宋体" w:cs="宋体"/>
          <w:color w:val="auto"/>
          <w:sz w:val="24"/>
          <w:szCs w:val="24"/>
          <w:highlight w:val="none"/>
        </w:rPr>
        <w:t xml:space="preserve">7.2 </w:t>
      </w:r>
      <w:bookmarkEnd w:id="373"/>
      <w:bookmarkStart w:id="376" w:name="_Toc247085726"/>
      <w:bookmarkStart w:id="377" w:name="_Toc246996955"/>
      <w:bookmarkStart w:id="378" w:name="_Toc246996212"/>
      <w:bookmarkStart w:id="379" w:name="_Toc179632586"/>
      <w:bookmarkStart w:id="380" w:name="_Toc144974536"/>
      <w:bookmarkStart w:id="381" w:name="_Toc152042344"/>
      <w:bookmarkStart w:id="382" w:name="_Toc29740"/>
      <w:bookmarkStart w:id="383" w:name="_Toc152045568"/>
      <w:r>
        <w:rPr>
          <w:rFonts w:hint="eastAsia" w:ascii="宋体" w:hAnsi="宋体" w:cs="宋体"/>
          <w:color w:val="auto"/>
          <w:sz w:val="24"/>
          <w:szCs w:val="24"/>
          <w:highlight w:val="none"/>
        </w:rPr>
        <w:t>成交结果通知</w:t>
      </w:r>
      <w:bookmarkEnd w:id="374"/>
      <w:bookmarkEnd w:id="375"/>
      <w:bookmarkEnd w:id="376"/>
      <w:bookmarkEnd w:id="377"/>
      <w:bookmarkEnd w:id="378"/>
      <w:bookmarkEnd w:id="379"/>
      <w:bookmarkEnd w:id="380"/>
      <w:bookmarkEnd w:id="381"/>
      <w:bookmarkEnd w:id="382"/>
      <w:bookmarkEnd w:id="38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在本章第3.3款规定的谈判有效期内，采购人以书面形式向成交单位发出成交通知书。</w:t>
      </w:r>
    </w:p>
    <w:p>
      <w:pPr>
        <w:pStyle w:val="5"/>
        <w:spacing w:before="0" w:after="0" w:line="360" w:lineRule="auto"/>
        <w:rPr>
          <w:rFonts w:ascii="宋体" w:hAnsi="宋体" w:cs="宋体"/>
          <w:color w:val="auto"/>
          <w:sz w:val="24"/>
          <w:szCs w:val="24"/>
          <w:highlight w:val="none"/>
        </w:rPr>
      </w:pPr>
      <w:bookmarkStart w:id="384" w:name="_Toc179632587"/>
      <w:bookmarkStart w:id="385" w:name="_Toc246996956"/>
      <w:bookmarkStart w:id="386" w:name="_Toc144974537"/>
      <w:bookmarkStart w:id="387" w:name="_Toc152045569"/>
      <w:bookmarkStart w:id="388" w:name="_Toc246996213"/>
      <w:bookmarkStart w:id="389" w:name="_Toc247085727"/>
      <w:bookmarkStart w:id="390" w:name="_Toc152042345"/>
      <w:bookmarkStart w:id="391" w:name="_Toc147994729"/>
      <w:bookmarkStart w:id="392" w:name="_Toc107479240"/>
      <w:bookmarkStart w:id="393" w:name="_Toc32652"/>
      <w:r>
        <w:rPr>
          <w:rFonts w:hint="eastAsia" w:ascii="宋体" w:hAnsi="宋体" w:cs="宋体"/>
          <w:color w:val="auto"/>
          <w:sz w:val="24"/>
          <w:szCs w:val="24"/>
          <w:highlight w:val="none"/>
        </w:rPr>
        <w:t xml:space="preserve">7.3 </w:t>
      </w:r>
      <w:bookmarkEnd w:id="384"/>
      <w:bookmarkEnd w:id="385"/>
      <w:bookmarkEnd w:id="386"/>
      <w:bookmarkEnd w:id="387"/>
      <w:bookmarkEnd w:id="388"/>
      <w:bookmarkEnd w:id="389"/>
      <w:bookmarkEnd w:id="390"/>
      <w:r>
        <w:rPr>
          <w:rFonts w:hint="eastAsia" w:ascii="宋体" w:hAnsi="宋体" w:cs="宋体"/>
          <w:color w:val="auto"/>
          <w:sz w:val="24"/>
          <w:szCs w:val="24"/>
          <w:highlight w:val="none"/>
        </w:rPr>
        <w:t>履约保证金</w:t>
      </w:r>
      <w:bookmarkEnd w:id="391"/>
      <w:bookmarkEnd w:id="392"/>
      <w:bookmarkEnd w:id="39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7.3.1在签订合同前，成交报价人应按报价人须知前附表规定的担保形式和竞争性谈判文件第三章“合同条款及格式”规定的或者事先经过采购人书面认可的履约保证金格式向采购人提交履约保证金。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7.3.2 成交报价人不能按本章第7.4.1项要求提交履约保证金的，视为放弃成交资格，其谈判保证金不予退还，给采购人造成的损失超过谈判保证金数额的，成交报价人还应当对超过部分予以赔偿。</w:t>
      </w:r>
    </w:p>
    <w:p>
      <w:pPr>
        <w:pStyle w:val="5"/>
        <w:spacing w:before="0" w:after="0" w:line="360" w:lineRule="auto"/>
        <w:rPr>
          <w:rFonts w:ascii="宋体" w:hAnsi="宋体" w:cs="宋体"/>
          <w:color w:val="auto"/>
          <w:sz w:val="24"/>
          <w:szCs w:val="24"/>
          <w:highlight w:val="none"/>
        </w:rPr>
      </w:pPr>
      <w:bookmarkStart w:id="394" w:name="_Toc152042346"/>
      <w:bookmarkStart w:id="395" w:name="_Toc247085728"/>
      <w:bookmarkStart w:id="396" w:name="_Toc179632588"/>
      <w:bookmarkStart w:id="397" w:name="_Toc147994730"/>
      <w:bookmarkStart w:id="398" w:name="_Toc144974538"/>
      <w:bookmarkStart w:id="399" w:name="_Toc246996957"/>
      <w:bookmarkStart w:id="400" w:name="_Toc152045570"/>
      <w:bookmarkStart w:id="401" w:name="_Toc26756"/>
      <w:bookmarkStart w:id="402" w:name="_Toc246996214"/>
      <w:bookmarkStart w:id="403" w:name="_Toc107479241"/>
      <w:r>
        <w:rPr>
          <w:rFonts w:hint="eastAsia" w:ascii="宋体" w:hAnsi="宋体" w:cs="宋体"/>
          <w:color w:val="auto"/>
          <w:sz w:val="24"/>
          <w:szCs w:val="24"/>
          <w:highlight w:val="none"/>
        </w:rPr>
        <w:t>7.4 签订合同</w:t>
      </w:r>
      <w:bookmarkEnd w:id="394"/>
      <w:bookmarkEnd w:id="395"/>
      <w:bookmarkEnd w:id="396"/>
      <w:bookmarkEnd w:id="397"/>
      <w:bookmarkEnd w:id="398"/>
      <w:bookmarkEnd w:id="399"/>
      <w:bookmarkEnd w:id="400"/>
      <w:bookmarkEnd w:id="401"/>
      <w:bookmarkEnd w:id="402"/>
      <w:bookmarkEnd w:id="40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7.4.1采购人和成交报价人应当自成交通知书发出之日起30天内，根据竞争性谈判文件和成交报价人的报价文件订立书面合同。成交报价人无正当理由拒签合同的，采购人取消其成交资格，其谈判保证金不予退还；给采购人造成的损失超过谈判保证金数额的，成交报价人还应当对超过部分予以赔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7.4.2 发出成交通知书后，采购人无正当理由拒签合同的，采购人向成交报价人退还谈判保证金；给成交报价人造成损失的，还应当赔偿损失。</w:t>
      </w:r>
    </w:p>
    <w:p>
      <w:pPr>
        <w:pStyle w:val="4"/>
        <w:spacing w:before="0" w:after="0" w:line="360" w:lineRule="auto"/>
        <w:rPr>
          <w:rFonts w:ascii="宋体" w:hAnsi="宋体" w:eastAsia="宋体" w:cs="宋体"/>
          <w:color w:val="auto"/>
          <w:sz w:val="24"/>
          <w:szCs w:val="24"/>
          <w:highlight w:val="none"/>
        </w:rPr>
      </w:pPr>
      <w:bookmarkStart w:id="404" w:name="_Toc107479242"/>
      <w:bookmarkStart w:id="405" w:name="_Toc147994731"/>
      <w:r>
        <w:rPr>
          <w:rFonts w:hint="eastAsia" w:ascii="宋体" w:hAnsi="宋体" w:eastAsia="宋体" w:cs="宋体"/>
          <w:color w:val="auto"/>
          <w:sz w:val="24"/>
          <w:szCs w:val="24"/>
          <w:highlight w:val="none"/>
        </w:rPr>
        <w:t>8. 纪律和监督</w:t>
      </w:r>
      <w:bookmarkEnd w:id="404"/>
      <w:bookmarkEnd w:id="405"/>
    </w:p>
    <w:p>
      <w:pPr>
        <w:pStyle w:val="5"/>
        <w:spacing w:before="0" w:after="0" w:line="360" w:lineRule="auto"/>
        <w:rPr>
          <w:rFonts w:ascii="宋体" w:hAnsi="宋体" w:cs="宋体"/>
          <w:color w:val="auto"/>
          <w:sz w:val="24"/>
          <w:szCs w:val="24"/>
          <w:highlight w:val="none"/>
        </w:rPr>
      </w:pPr>
      <w:bookmarkStart w:id="406" w:name="_Toc246996219"/>
      <w:bookmarkStart w:id="407" w:name="_Toc179632593"/>
      <w:bookmarkStart w:id="408" w:name="_Toc152045575"/>
      <w:bookmarkStart w:id="409" w:name="_Toc296590983"/>
      <w:bookmarkStart w:id="410" w:name="_Toc32080"/>
      <w:bookmarkStart w:id="411" w:name="_Toc247085733"/>
      <w:bookmarkStart w:id="412" w:name="_Toc107479243"/>
      <w:bookmarkStart w:id="413" w:name="_Toc152042351"/>
      <w:bookmarkStart w:id="414" w:name="_Toc147994732"/>
      <w:bookmarkStart w:id="415" w:name="_Toc144974543"/>
      <w:bookmarkStart w:id="416" w:name="_Toc246996962"/>
      <w:r>
        <w:rPr>
          <w:rFonts w:hint="eastAsia" w:ascii="宋体" w:hAnsi="宋体" w:cs="宋体"/>
          <w:color w:val="auto"/>
          <w:sz w:val="24"/>
          <w:szCs w:val="24"/>
          <w:highlight w:val="none"/>
        </w:rPr>
        <w:t>8.1 对采购人的纪律要求</w:t>
      </w:r>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采购人不得泄漏招标投标活动中应当保密的情况和资料，不得与报价人串通损害国家利益、社会公共利益或者他人合法权益。</w:t>
      </w:r>
    </w:p>
    <w:p>
      <w:pPr>
        <w:pStyle w:val="5"/>
        <w:spacing w:before="0" w:after="0" w:line="360" w:lineRule="auto"/>
        <w:rPr>
          <w:rFonts w:ascii="宋体" w:hAnsi="宋体" w:cs="宋体"/>
          <w:color w:val="auto"/>
          <w:sz w:val="24"/>
          <w:szCs w:val="24"/>
          <w:highlight w:val="none"/>
        </w:rPr>
      </w:pPr>
      <w:bookmarkStart w:id="417" w:name="_Toc27330"/>
      <w:bookmarkStart w:id="418" w:name="_Toc246996220"/>
      <w:bookmarkStart w:id="419" w:name="_Toc179632594"/>
      <w:bookmarkStart w:id="420" w:name="_Toc247085734"/>
      <w:bookmarkStart w:id="421" w:name="_Toc246996963"/>
      <w:bookmarkStart w:id="422" w:name="_Toc107479244"/>
      <w:bookmarkStart w:id="423" w:name="_Toc147994733"/>
      <w:bookmarkStart w:id="424" w:name="_Toc144974544"/>
      <w:bookmarkStart w:id="425" w:name="_Toc152042352"/>
      <w:bookmarkStart w:id="426" w:name="_Toc152045576"/>
      <w:r>
        <w:rPr>
          <w:rFonts w:hint="eastAsia" w:ascii="宋体" w:hAnsi="宋体" w:cs="宋体"/>
          <w:color w:val="auto"/>
          <w:sz w:val="24"/>
          <w:szCs w:val="24"/>
          <w:highlight w:val="none"/>
        </w:rPr>
        <w:t>8.2 对报价人的纪律要求</w:t>
      </w:r>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报价人不得相互串通投标或者与采购人串通投标，不得向采购人或者竞争性谈判小组成员行贿谋取成交，不得以他人名义投标或者以其他方式弄虚作假骗取中标；报价人不得以任何方式干扰、影响评审工作。</w:t>
      </w:r>
    </w:p>
    <w:p>
      <w:pPr>
        <w:pStyle w:val="5"/>
        <w:spacing w:before="0" w:after="0" w:line="360" w:lineRule="auto"/>
        <w:rPr>
          <w:rFonts w:ascii="宋体" w:hAnsi="宋体" w:cs="宋体"/>
          <w:color w:val="auto"/>
          <w:sz w:val="24"/>
          <w:szCs w:val="24"/>
          <w:highlight w:val="none"/>
        </w:rPr>
      </w:pPr>
      <w:bookmarkStart w:id="427" w:name="_Toc107479245"/>
      <w:bookmarkStart w:id="428" w:name="_Toc152045577"/>
      <w:bookmarkStart w:id="429" w:name="_Toc144974545"/>
      <w:bookmarkStart w:id="430" w:name="_Toc246996964"/>
      <w:bookmarkStart w:id="431" w:name="_Toc247085735"/>
      <w:bookmarkStart w:id="432" w:name="_Toc147994734"/>
      <w:bookmarkStart w:id="433" w:name="_Toc246996221"/>
      <w:bookmarkStart w:id="434" w:name="_Toc179632595"/>
      <w:bookmarkStart w:id="435" w:name="_Toc8251"/>
      <w:bookmarkStart w:id="436" w:name="_Toc152042353"/>
      <w:r>
        <w:rPr>
          <w:rFonts w:hint="eastAsia" w:ascii="宋体" w:hAnsi="宋体" w:cs="宋体"/>
          <w:color w:val="auto"/>
          <w:sz w:val="24"/>
          <w:szCs w:val="24"/>
          <w:highlight w:val="none"/>
        </w:rPr>
        <w:t>8.3 对竞争性谈判小组成员的纪律要求</w:t>
      </w:r>
      <w:bookmarkEnd w:id="427"/>
      <w:bookmarkEnd w:id="428"/>
      <w:bookmarkEnd w:id="429"/>
      <w:bookmarkEnd w:id="430"/>
      <w:bookmarkEnd w:id="431"/>
      <w:bookmarkEnd w:id="432"/>
      <w:bookmarkEnd w:id="433"/>
      <w:bookmarkEnd w:id="434"/>
      <w:bookmarkEnd w:id="435"/>
      <w:bookmarkEnd w:id="43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竞争性谈判小组成员不得收受他人的财物或者其他好处，不得向他人透漏对报价文件的评审和比较、成交候选报价人的推荐情况以及评审有关的其他情况。在评审活动中，竞争性谈判小组成员应当客观、公正地履行职责，遵守职业道德，不得擅离职守，影响评审程序正常进行，不得使用第二章“评审办法”没有规定的评审因素和标准进行评审。</w:t>
      </w:r>
    </w:p>
    <w:p>
      <w:pPr>
        <w:pStyle w:val="5"/>
        <w:spacing w:before="0" w:after="0" w:line="360" w:lineRule="auto"/>
        <w:rPr>
          <w:rFonts w:ascii="宋体" w:hAnsi="宋体" w:cs="宋体"/>
          <w:color w:val="auto"/>
          <w:sz w:val="24"/>
          <w:szCs w:val="24"/>
          <w:highlight w:val="none"/>
        </w:rPr>
      </w:pPr>
      <w:bookmarkStart w:id="437" w:name="_Toc152042354"/>
      <w:bookmarkStart w:id="438" w:name="_Toc247085736"/>
      <w:bookmarkStart w:id="439" w:name="_Toc107479246"/>
      <w:bookmarkStart w:id="440" w:name="_Toc179632596"/>
      <w:bookmarkStart w:id="441" w:name="_Toc147994735"/>
      <w:bookmarkStart w:id="442" w:name="_Toc246996222"/>
      <w:bookmarkStart w:id="443" w:name="_Toc246996965"/>
      <w:bookmarkStart w:id="444" w:name="_Toc2639"/>
      <w:bookmarkStart w:id="445" w:name="_Toc152045578"/>
      <w:bookmarkStart w:id="446" w:name="_Toc144974546"/>
      <w:r>
        <w:rPr>
          <w:rFonts w:hint="eastAsia" w:ascii="宋体" w:hAnsi="宋体" w:cs="宋体"/>
          <w:color w:val="auto"/>
          <w:sz w:val="24"/>
          <w:szCs w:val="24"/>
          <w:highlight w:val="none"/>
        </w:rPr>
        <w:t>8.4 对与评审活动有关的工作人员的纪律要求</w:t>
      </w:r>
      <w:bookmarkEnd w:id="437"/>
      <w:bookmarkEnd w:id="438"/>
      <w:bookmarkEnd w:id="439"/>
      <w:bookmarkEnd w:id="440"/>
      <w:bookmarkEnd w:id="441"/>
      <w:bookmarkEnd w:id="442"/>
      <w:bookmarkEnd w:id="443"/>
      <w:bookmarkEnd w:id="444"/>
      <w:bookmarkEnd w:id="445"/>
    </w:p>
    <w:p>
      <w:pPr>
        <w:spacing w:line="360" w:lineRule="auto"/>
        <w:ind w:firstLine="480" w:firstLineChars="200"/>
        <w:rPr>
          <w:rFonts w:ascii="宋体" w:hAnsi="宋体" w:cs="宋体"/>
          <w:color w:val="auto"/>
          <w:sz w:val="24"/>
          <w:highlight w:val="none"/>
        </w:rPr>
      </w:pPr>
      <w:bookmarkStart w:id="447" w:name="_Toc152042355"/>
      <w:r>
        <w:rPr>
          <w:rFonts w:hint="eastAsia" w:ascii="宋体" w:hAnsi="宋体" w:cs="宋体"/>
          <w:color w:val="auto"/>
          <w:sz w:val="24"/>
          <w:highlight w:val="none"/>
        </w:rPr>
        <w:t>与评审活动有关的工作人员不得收受他人的财物或者其他好处，不得向他人透漏对报价文件的评审和比较、成交候选报价人的推荐情况以及评审有关的其他情况。在评审活动中，与评审活动有关的工作人员不得擅离职守，影响评审程序正常进行。</w:t>
      </w:r>
      <w:bookmarkEnd w:id="447"/>
    </w:p>
    <w:bookmarkEnd w:id="446"/>
    <w:p>
      <w:pPr>
        <w:pStyle w:val="4"/>
        <w:spacing w:before="0" w:after="0" w:line="360" w:lineRule="auto"/>
        <w:rPr>
          <w:rFonts w:ascii="宋体" w:hAnsi="宋体" w:eastAsia="宋体" w:cs="宋体"/>
          <w:color w:val="auto"/>
          <w:sz w:val="24"/>
          <w:szCs w:val="24"/>
          <w:highlight w:val="none"/>
        </w:rPr>
      </w:pPr>
      <w:bookmarkStart w:id="448" w:name="_Toc247085738"/>
      <w:bookmarkStart w:id="449" w:name="_Toc147994736"/>
      <w:bookmarkStart w:id="450" w:name="_Toc152042357"/>
      <w:bookmarkStart w:id="451" w:name="_Toc246996224"/>
      <w:bookmarkStart w:id="452" w:name="_Toc152045580"/>
      <w:bookmarkStart w:id="453" w:name="_Toc144974547"/>
      <w:bookmarkStart w:id="454" w:name="_Toc246996967"/>
      <w:bookmarkStart w:id="455" w:name="_Toc107479247"/>
      <w:bookmarkStart w:id="456" w:name="_Toc179632598"/>
      <w:r>
        <w:rPr>
          <w:rFonts w:hint="eastAsia" w:ascii="宋体" w:hAnsi="宋体" w:eastAsia="宋体" w:cs="宋体"/>
          <w:color w:val="auto"/>
          <w:sz w:val="24"/>
          <w:szCs w:val="24"/>
          <w:highlight w:val="none"/>
        </w:rPr>
        <w:t>9. 需要补充的其他内容</w:t>
      </w:r>
      <w:bookmarkEnd w:id="448"/>
      <w:bookmarkEnd w:id="449"/>
      <w:bookmarkEnd w:id="450"/>
      <w:bookmarkEnd w:id="451"/>
      <w:bookmarkEnd w:id="452"/>
      <w:bookmarkEnd w:id="453"/>
      <w:bookmarkEnd w:id="454"/>
      <w:bookmarkEnd w:id="455"/>
      <w:bookmarkEnd w:id="45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需要补充的其他内容：见报价人须知前附表。</w:t>
      </w:r>
    </w:p>
    <w:p>
      <w:pPr>
        <w:spacing w:line="400" w:lineRule="exact"/>
        <w:rPr>
          <w:rFonts w:ascii="宋体" w:hAnsi="宋体" w:cs="宋体"/>
          <w:color w:val="auto"/>
          <w:highlight w:val="none"/>
        </w:rPr>
      </w:pPr>
    </w:p>
    <w:p>
      <w:pPr>
        <w:pStyle w:val="3"/>
        <w:spacing w:line="360" w:lineRule="auto"/>
        <w:jc w:val="center"/>
        <w:rPr>
          <w:rFonts w:ascii="宋体" w:hAnsi="宋体" w:cs="宋体"/>
          <w:color w:val="auto"/>
          <w:highlight w:val="none"/>
        </w:rPr>
      </w:pPr>
      <w:bookmarkStart w:id="457" w:name="_Toc144974565"/>
      <w:bookmarkStart w:id="458" w:name="_Toc246996984"/>
      <w:bookmarkStart w:id="459" w:name="_Toc179632616"/>
      <w:bookmarkStart w:id="460" w:name="_Toc152045598"/>
      <w:bookmarkStart w:id="461" w:name="_Toc247085756"/>
      <w:bookmarkStart w:id="462" w:name="_Toc152042375"/>
      <w:bookmarkStart w:id="463" w:name="_Toc246996241"/>
      <w:r>
        <w:rPr>
          <w:rFonts w:hint="eastAsia" w:ascii="宋体" w:hAnsi="宋体" w:cs="宋体"/>
          <w:color w:val="auto"/>
          <w:highlight w:val="none"/>
        </w:rPr>
        <w:br w:type="page"/>
      </w:r>
      <w:bookmarkStart w:id="464" w:name="_Toc147994737"/>
      <w:r>
        <w:rPr>
          <w:rFonts w:hint="eastAsia" w:ascii="宋体" w:hAnsi="宋体" w:cs="宋体"/>
          <w:color w:val="auto"/>
          <w:highlight w:val="none"/>
        </w:rPr>
        <w:t xml:space="preserve">第二章 </w:t>
      </w:r>
      <w:bookmarkEnd w:id="457"/>
      <w:bookmarkEnd w:id="458"/>
      <w:bookmarkEnd w:id="459"/>
      <w:bookmarkEnd w:id="460"/>
      <w:bookmarkEnd w:id="461"/>
      <w:bookmarkEnd w:id="462"/>
      <w:bookmarkEnd w:id="463"/>
      <w:r>
        <w:rPr>
          <w:rFonts w:hint="eastAsia" w:ascii="宋体" w:hAnsi="宋体" w:cs="宋体"/>
          <w:color w:val="auto"/>
          <w:highlight w:val="none"/>
        </w:rPr>
        <w:t>评审办法(两轮报价)</w:t>
      </w:r>
      <w:bookmarkEnd w:id="464"/>
    </w:p>
    <w:p>
      <w:pPr>
        <w:pStyle w:val="18"/>
        <w:spacing w:after="120"/>
        <w:ind w:firstLine="643"/>
        <w:jc w:val="center"/>
        <w:rPr>
          <w:rFonts w:hint="default" w:cs="宋体"/>
          <w:b/>
          <w:bCs/>
          <w:color w:val="auto"/>
          <w:sz w:val="32"/>
          <w:szCs w:val="32"/>
          <w:highlight w:val="none"/>
        </w:rPr>
      </w:pPr>
      <w:bookmarkStart w:id="465" w:name="_Toc152045599"/>
      <w:bookmarkStart w:id="466" w:name="_Toc247085757"/>
      <w:bookmarkStart w:id="467" w:name="_Toc179632617"/>
      <w:bookmarkStart w:id="468" w:name="_Toc152042376"/>
      <w:bookmarkStart w:id="469" w:name="_Toc246996985"/>
      <w:bookmarkStart w:id="470" w:name="_Toc246996242"/>
      <w:bookmarkStart w:id="471" w:name="_Toc144974566"/>
      <w:bookmarkStart w:id="472" w:name="_Toc246996252"/>
      <w:bookmarkStart w:id="473" w:name="_Toc144974577"/>
      <w:bookmarkStart w:id="474" w:name="_Toc179632627"/>
      <w:bookmarkStart w:id="475" w:name="_Toc247085767"/>
      <w:bookmarkStart w:id="476" w:name="_Toc152045609"/>
      <w:bookmarkStart w:id="477" w:name="_Toc152042387"/>
      <w:bookmarkStart w:id="478" w:name="_Toc246996995"/>
      <w:r>
        <w:rPr>
          <w:rFonts w:cs="宋体"/>
          <w:b/>
          <w:bCs/>
          <w:color w:val="auto"/>
          <w:sz w:val="32"/>
          <w:szCs w:val="32"/>
          <w:highlight w:val="none"/>
        </w:rPr>
        <w:t>评审办法前附表</w:t>
      </w:r>
      <w:bookmarkEnd w:id="465"/>
      <w:bookmarkEnd w:id="466"/>
      <w:bookmarkEnd w:id="467"/>
      <w:bookmarkEnd w:id="468"/>
      <w:bookmarkEnd w:id="469"/>
      <w:bookmarkEnd w:id="470"/>
      <w:bookmarkEnd w:id="471"/>
    </w:p>
    <w:p>
      <w:pPr>
        <w:rPr>
          <w:color w:val="auto"/>
          <w:highlight w:val="none"/>
        </w:rPr>
      </w:pPr>
    </w:p>
    <w:tbl>
      <w:tblPr>
        <w:tblStyle w:val="48"/>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28"/>
        <w:gridCol w:w="2012"/>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28"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228"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报价函签名盖章</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有法定代表人或其委托代理人签名或加盖单位章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报价文件格式</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符合第七章“报价文件格式”的要求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报价唯一</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1228"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安全生产许可证</w:t>
            </w:r>
          </w:p>
        </w:tc>
        <w:tc>
          <w:tcPr>
            <w:tcW w:w="468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color w:val="auto"/>
                <w:szCs w:val="21"/>
                <w:highlight w:val="none"/>
              </w:rPr>
              <w:t>具备有效的</w:t>
            </w:r>
            <w:r>
              <w:rPr>
                <w:rFonts w:hint="eastAsia" w:ascii="宋体" w:hAnsi="宋体" w:cs="宋体"/>
                <w:color w:val="auto"/>
                <w:highlight w:val="none"/>
              </w:rPr>
              <w:t>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资质等级</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tc>
        <w:tc>
          <w:tcPr>
            <w:tcW w:w="1228" w:type="dxa"/>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w:t>
            </w: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符合第一章“报价人须知”第3.2.3项规定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谈判有效期</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谈判保证金</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符合第一章“报价人须知”第3.4.1项规定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权利义务</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符合第三章“合同条款及格式”规定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已标价工程量清单</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符合第四章“工程量清单”给出的范围及数量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技术标准和要求</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228"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其他实质性要求</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响应其他实质性要求</w:t>
            </w:r>
          </w:p>
        </w:tc>
      </w:tr>
    </w:tbl>
    <w:p>
      <w:pPr>
        <w:spacing w:line="400" w:lineRule="exact"/>
        <w:rPr>
          <w:rFonts w:ascii="宋体" w:hAnsi="宋体" w:cs="宋体"/>
          <w:color w:val="auto"/>
          <w:highlight w:val="none"/>
        </w:rPr>
      </w:pPr>
      <w:r>
        <w:rPr>
          <w:rFonts w:hint="eastAsia" w:ascii="宋体" w:hAnsi="宋体" w:cs="宋体"/>
          <w:b/>
          <w:color w:val="auto"/>
          <w:szCs w:val="21"/>
          <w:highlight w:val="none"/>
        </w:rPr>
        <w:br w:type="page"/>
      </w:r>
    </w:p>
    <w:p>
      <w:pPr>
        <w:pStyle w:val="4"/>
        <w:spacing w:before="0" w:after="0" w:line="360" w:lineRule="auto"/>
        <w:rPr>
          <w:rFonts w:ascii="宋体" w:hAnsi="宋体" w:eastAsia="宋体" w:cs="宋体"/>
          <w:color w:val="auto"/>
          <w:sz w:val="24"/>
          <w:szCs w:val="24"/>
          <w:highlight w:val="none"/>
        </w:rPr>
      </w:pPr>
      <w:bookmarkStart w:id="479" w:name="_Toc246996986"/>
      <w:bookmarkStart w:id="480" w:name="_Toc152045600"/>
      <w:bookmarkStart w:id="481" w:name="_Toc147994738"/>
      <w:bookmarkStart w:id="482" w:name="_Toc246996243"/>
      <w:bookmarkStart w:id="483" w:name="_Toc144974567"/>
      <w:bookmarkStart w:id="484" w:name="_Toc17805"/>
      <w:bookmarkStart w:id="485" w:name="_Toc179632618"/>
      <w:bookmarkStart w:id="486" w:name="_Toc247085758"/>
      <w:bookmarkStart w:id="487" w:name="_Toc29963"/>
      <w:bookmarkStart w:id="488" w:name="_Toc107479249"/>
      <w:bookmarkStart w:id="489" w:name="_Toc152042377"/>
      <w:r>
        <w:rPr>
          <w:rFonts w:hint="eastAsia" w:ascii="宋体" w:hAnsi="宋体" w:eastAsia="宋体" w:cs="宋体"/>
          <w:color w:val="auto"/>
          <w:sz w:val="24"/>
          <w:szCs w:val="24"/>
          <w:highlight w:val="none"/>
        </w:rPr>
        <w:t>1. 评审方法</w:t>
      </w:r>
      <w:bookmarkEnd w:id="479"/>
      <w:bookmarkEnd w:id="480"/>
      <w:bookmarkEnd w:id="481"/>
      <w:bookmarkEnd w:id="482"/>
      <w:bookmarkEnd w:id="483"/>
      <w:bookmarkEnd w:id="484"/>
      <w:bookmarkEnd w:id="485"/>
      <w:bookmarkEnd w:id="486"/>
      <w:bookmarkEnd w:id="487"/>
      <w:bookmarkEnd w:id="488"/>
      <w:bookmarkEnd w:id="489"/>
    </w:p>
    <w:p>
      <w:pPr>
        <w:pStyle w:val="18"/>
        <w:spacing w:after="120" w:line="352" w:lineRule="auto"/>
        <w:ind w:left="100" w:right="111"/>
        <w:rPr>
          <w:rFonts w:hint="default"/>
          <w:color w:val="auto"/>
          <w:highlight w:val="none"/>
        </w:rPr>
      </w:pPr>
      <w:r>
        <w:rPr>
          <w:color w:val="auto"/>
          <w:highlight w:val="none"/>
        </w:rPr>
        <w:t>本次评审采用最低价法。竞争性谈判小组对满足竞争性谈判文件实质性要求的报价文件，按照最后报价由低到高的顺序进行排序，或根据采购人授权直接确定成交报价人，但报价低于其成本的除外。报价相等的，由采购人或其授权的竞争性谈判小组自行确定。</w:t>
      </w:r>
    </w:p>
    <w:p>
      <w:pPr>
        <w:pStyle w:val="4"/>
        <w:spacing w:before="0" w:after="0" w:line="360" w:lineRule="auto"/>
        <w:rPr>
          <w:rFonts w:ascii="宋体" w:hAnsi="宋体" w:eastAsia="宋体" w:cs="宋体"/>
          <w:color w:val="auto"/>
          <w:sz w:val="24"/>
          <w:szCs w:val="24"/>
          <w:highlight w:val="none"/>
        </w:rPr>
      </w:pPr>
      <w:bookmarkStart w:id="490" w:name="_Toc152045601"/>
      <w:bookmarkStart w:id="491" w:name="_Toc152042378"/>
      <w:bookmarkStart w:id="492" w:name="_Toc247085759"/>
      <w:bookmarkStart w:id="493" w:name="_Toc11099"/>
      <w:bookmarkStart w:id="494" w:name="_Toc20024"/>
      <w:bookmarkStart w:id="495" w:name="_Toc147994739"/>
      <w:bookmarkStart w:id="496" w:name="_Toc246996987"/>
      <w:bookmarkStart w:id="497" w:name="_Toc107479250"/>
      <w:bookmarkStart w:id="498" w:name="_Toc246996244"/>
      <w:bookmarkStart w:id="499" w:name="_Toc144974568"/>
      <w:bookmarkStart w:id="500" w:name="_Toc179632619"/>
      <w:r>
        <w:rPr>
          <w:rFonts w:hint="eastAsia" w:ascii="宋体" w:hAnsi="宋体" w:eastAsia="宋体" w:cs="宋体"/>
          <w:color w:val="auto"/>
          <w:sz w:val="24"/>
          <w:szCs w:val="24"/>
          <w:highlight w:val="none"/>
        </w:rPr>
        <w:t>2. 初步评审标准</w:t>
      </w:r>
      <w:bookmarkEnd w:id="490"/>
      <w:bookmarkEnd w:id="491"/>
      <w:bookmarkEnd w:id="492"/>
      <w:bookmarkEnd w:id="493"/>
      <w:bookmarkEnd w:id="494"/>
      <w:bookmarkEnd w:id="495"/>
      <w:bookmarkEnd w:id="496"/>
      <w:bookmarkEnd w:id="497"/>
      <w:bookmarkEnd w:id="498"/>
      <w:bookmarkEnd w:id="499"/>
      <w:bookmarkEnd w:id="50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形式评审标准：见评审办法前附表。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资格评审标准：见评审办法前附表。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响应性评审标准：见评审办法前附表。</w:t>
      </w:r>
    </w:p>
    <w:p>
      <w:pPr>
        <w:pStyle w:val="4"/>
        <w:spacing w:before="0" w:after="0" w:line="360" w:lineRule="auto"/>
        <w:rPr>
          <w:rFonts w:ascii="宋体" w:hAnsi="宋体" w:eastAsia="宋体" w:cs="宋体"/>
          <w:color w:val="auto"/>
          <w:sz w:val="24"/>
          <w:szCs w:val="24"/>
          <w:highlight w:val="none"/>
        </w:rPr>
      </w:pPr>
      <w:bookmarkStart w:id="501" w:name="_Toc19934"/>
      <w:bookmarkStart w:id="502" w:name="_Toc152042381"/>
      <w:bookmarkStart w:id="503" w:name="_Toc107479251"/>
      <w:bookmarkStart w:id="504" w:name="_Toc247085762"/>
      <w:bookmarkStart w:id="505" w:name="_Toc147994740"/>
      <w:bookmarkStart w:id="506" w:name="_Toc144974571"/>
      <w:bookmarkStart w:id="507" w:name="_Toc246996247"/>
      <w:bookmarkStart w:id="508" w:name="_Toc246996990"/>
      <w:bookmarkStart w:id="509" w:name="_Toc13006"/>
      <w:bookmarkStart w:id="510" w:name="_Toc152045604"/>
      <w:bookmarkStart w:id="511" w:name="_Toc179632622"/>
      <w:r>
        <w:rPr>
          <w:rFonts w:hint="eastAsia" w:ascii="宋体" w:hAnsi="宋体" w:eastAsia="宋体" w:cs="宋体"/>
          <w:color w:val="auto"/>
          <w:sz w:val="24"/>
          <w:szCs w:val="24"/>
          <w:highlight w:val="none"/>
        </w:rPr>
        <w:t>3. 评审程序</w:t>
      </w:r>
      <w:bookmarkEnd w:id="501"/>
      <w:bookmarkEnd w:id="502"/>
      <w:bookmarkEnd w:id="503"/>
      <w:bookmarkEnd w:id="504"/>
      <w:bookmarkEnd w:id="505"/>
      <w:bookmarkEnd w:id="506"/>
      <w:bookmarkEnd w:id="507"/>
      <w:bookmarkEnd w:id="508"/>
      <w:bookmarkEnd w:id="509"/>
      <w:bookmarkEnd w:id="510"/>
      <w:bookmarkEnd w:id="511"/>
    </w:p>
    <w:p>
      <w:pPr>
        <w:pStyle w:val="5"/>
        <w:spacing w:before="0" w:after="0" w:line="360" w:lineRule="auto"/>
        <w:rPr>
          <w:rFonts w:ascii="宋体" w:hAnsi="宋体" w:cs="宋体"/>
          <w:color w:val="auto"/>
          <w:sz w:val="24"/>
          <w:szCs w:val="24"/>
          <w:highlight w:val="none"/>
        </w:rPr>
      </w:pPr>
      <w:bookmarkStart w:id="512" w:name="_Toc134866241"/>
      <w:bookmarkStart w:id="513" w:name="_Toc107479252"/>
      <w:bookmarkStart w:id="514" w:name="_Toc144974572"/>
      <w:bookmarkStart w:id="515" w:name="_Toc152042382"/>
      <w:bookmarkStart w:id="516" w:name="_Toc8658"/>
      <w:bookmarkStart w:id="517" w:name="_Toc246996991"/>
      <w:bookmarkStart w:id="518" w:name="_Toc247085763"/>
      <w:bookmarkStart w:id="519" w:name="_Toc152045605"/>
      <w:bookmarkStart w:id="520" w:name="_Toc246996248"/>
      <w:bookmarkStart w:id="521" w:name="_Toc16047"/>
      <w:bookmarkStart w:id="522" w:name="_Toc179632623"/>
      <w:bookmarkStart w:id="523" w:name="_Toc18232"/>
      <w:bookmarkStart w:id="524" w:name="_Toc147994741"/>
      <w:r>
        <w:rPr>
          <w:rFonts w:hint="eastAsia" w:ascii="宋体" w:hAnsi="宋体" w:cs="宋体"/>
          <w:color w:val="auto"/>
          <w:sz w:val="24"/>
          <w:szCs w:val="24"/>
          <w:highlight w:val="none"/>
        </w:rPr>
        <w:t>3.1 初步评审</w:t>
      </w:r>
      <w:bookmarkEnd w:id="512"/>
      <w:bookmarkEnd w:id="513"/>
      <w:bookmarkEnd w:id="514"/>
      <w:bookmarkEnd w:id="515"/>
      <w:bookmarkEnd w:id="516"/>
      <w:bookmarkEnd w:id="517"/>
      <w:bookmarkEnd w:id="518"/>
      <w:bookmarkEnd w:id="519"/>
      <w:bookmarkEnd w:id="520"/>
      <w:bookmarkEnd w:id="521"/>
      <w:bookmarkEnd w:id="522"/>
      <w:bookmarkEnd w:id="523"/>
      <w:bookmarkEnd w:id="52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竞争性谈判小组依据本章第2款规定的标准对报价文件进行初步评审。报价人有一项不符合评审标准的，不进入下一步评审。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 报价人有以下情形之一的，不进入下一步评审：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（1）第一章“报价人须知”第1.4.2项、第1.4.3项规定的任何一种情形的；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（2）串通投标或弄虚作假或有其他违法行为的；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（3）不按竞争性谈判小组要求澄清、说明或补正的。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3.1.3谈判报价有算术错误的，竞争性谈判小组按以下原则对报价进行修正，修正的价格经报价人书面确认后具有约束力。报价人不接受修正价格的，不进入下一步评审。</w:t>
      </w:r>
    </w:p>
    <w:p>
      <w:pPr>
        <w:spacing w:line="360" w:lineRule="auto"/>
        <w:ind w:firstLine="820" w:firstLineChars="342"/>
        <w:rPr>
          <w:rFonts w:ascii="宋体" w:hAnsi="宋体" w:cs="宋体"/>
          <w:color w:val="auto"/>
          <w:sz w:val="24"/>
          <w:highlight w:val="none"/>
        </w:rPr>
      </w:pPr>
      <w:bookmarkStart w:id="525" w:name="_Toc152042383"/>
      <w:r>
        <w:rPr>
          <w:rFonts w:hint="eastAsia" w:ascii="宋体" w:hAnsi="宋体" w:cs="宋体"/>
          <w:color w:val="auto"/>
          <w:sz w:val="24"/>
          <w:highlight w:val="none"/>
        </w:rPr>
        <w:t>（1）报价文件中的大写金额与小写金额不一致的，以大写金额为准；</w:t>
      </w:r>
      <w:bookmarkEnd w:id="525"/>
    </w:p>
    <w:p>
      <w:pPr>
        <w:spacing w:line="360" w:lineRule="auto"/>
        <w:ind w:firstLine="820" w:firstLineChars="342"/>
        <w:rPr>
          <w:rFonts w:ascii="宋体" w:hAnsi="宋体" w:cs="宋体"/>
          <w:color w:val="auto"/>
          <w:sz w:val="24"/>
          <w:highlight w:val="none"/>
        </w:rPr>
      </w:pPr>
      <w:r>
        <w:rPr>
          <w:rFonts w:hint="eastAsia" w:ascii="宋体" w:hAnsi="宋体" w:cs="宋体"/>
          <w:color w:val="auto"/>
          <w:sz w:val="24"/>
          <w:highlight w:val="none"/>
        </w:rPr>
        <w:t>（2）总价金额与依据单价计算出的结果不一致的，以单价金额为准修正总价，但单价金额小数点有明显错误的除外。</w:t>
      </w:r>
    </w:p>
    <w:p>
      <w:pPr>
        <w:pStyle w:val="5"/>
        <w:spacing w:before="0" w:after="0" w:line="360" w:lineRule="auto"/>
        <w:rPr>
          <w:rFonts w:ascii="宋体" w:hAnsi="宋体" w:cs="宋体"/>
          <w:color w:val="auto"/>
          <w:sz w:val="24"/>
          <w:szCs w:val="24"/>
          <w:highlight w:val="none"/>
        </w:rPr>
      </w:pPr>
      <w:bookmarkStart w:id="526" w:name="_Toc134866242"/>
      <w:bookmarkStart w:id="527" w:name="_Toc179632624"/>
      <w:bookmarkStart w:id="528" w:name="_Toc10528"/>
      <w:bookmarkStart w:id="529" w:name="_Toc144974573"/>
      <w:bookmarkStart w:id="530" w:name="_Toc107479253"/>
      <w:bookmarkStart w:id="531" w:name="_Toc247085764"/>
      <w:bookmarkStart w:id="532" w:name="_Toc18856"/>
      <w:bookmarkStart w:id="533" w:name="_Toc246996249"/>
      <w:bookmarkStart w:id="534" w:name="_Toc246996992"/>
      <w:bookmarkStart w:id="535" w:name="_Toc147994742"/>
      <w:bookmarkStart w:id="536" w:name="_Toc152045606"/>
      <w:bookmarkStart w:id="537" w:name="_Toc9479"/>
      <w:bookmarkStart w:id="538" w:name="_Toc152042384"/>
      <w:r>
        <w:rPr>
          <w:rFonts w:hint="eastAsia" w:ascii="宋体" w:hAnsi="宋体" w:cs="宋体"/>
          <w:color w:val="auto"/>
          <w:sz w:val="24"/>
          <w:szCs w:val="24"/>
          <w:highlight w:val="none"/>
        </w:rPr>
        <w:t>3.2 详细评审</w:t>
      </w:r>
      <w:bookmarkEnd w:id="526"/>
      <w:bookmarkEnd w:id="527"/>
      <w:bookmarkEnd w:id="528"/>
      <w:bookmarkEnd w:id="529"/>
      <w:bookmarkEnd w:id="530"/>
      <w:bookmarkEnd w:id="531"/>
      <w:bookmarkEnd w:id="532"/>
      <w:bookmarkEnd w:id="533"/>
      <w:bookmarkEnd w:id="534"/>
      <w:bookmarkEnd w:id="535"/>
      <w:bookmarkEnd w:id="536"/>
      <w:bookmarkEnd w:id="537"/>
      <w:bookmarkEnd w:id="53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 除评审办法前附表另有规定外，评审价格以最终报价为准。</w:t>
      </w:r>
    </w:p>
    <w:p>
      <w:pPr>
        <w:spacing w:line="360" w:lineRule="auto"/>
        <w:ind w:firstLine="480" w:firstLineChars="200"/>
        <w:rPr>
          <w:rFonts w:ascii="宋体" w:hAnsi="宋体" w:cs="宋体"/>
          <w:color w:val="auto"/>
          <w:sz w:val="24"/>
          <w:highlight w:val="none"/>
        </w:rPr>
      </w:pPr>
      <w:bookmarkStart w:id="539" w:name="bookmark519"/>
      <w:bookmarkEnd w:id="539"/>
      <w:r>
        <w:rPr>
          <w:rFonts w:hint="eastAsia" w:ascii="宋体" w:hAnsi="宋体" w:cs="宋体"/>
          <w:color w:val="auto"/>
          <w:sz w:val="24"/>
          <w:highlight w:val="none"/>
        </w:rPr>
        <w:t>3.2.2 评审价格超过控制价（如有）的，其报价文件将被视为无效。</w:t>
      </w:r>
    </w:p>
    <w:p>
      <w:pPr>
        <w:spacing w:line="360" w:lineRule="auto"/>
        <w:ind w:firstLine="480" w:firstLineChars="200"/>
        <w:rPr>
          <w:rFonts w:ascii="宋体" w:hAnsi="宋体" w:cs="宋体"/>
          <w:color w:val="auto"/>
          <w:sz w:val="24"/>
          <w:highlight w:val="none"/>
        </w:rPr>
      </w:pPr>
      <w:bookmarkStart w:id="540" w:name="bookmark520"/>
      <w:bookmarkEnd w:id="540"/>
      <w:r>
        <w:rPr>
          <w:rFonts w:hint="eastAsia" w:ascii="宋体" w:hAnsi="宋体" w:cs="宋体"/>
          <w:color w:val="auto"/>
          <w:sz w:val="24"/>
          <w:highlight w:val="none"/>
        </w:rPr>
        <w:t>3.2.3 竞争性谈判小组发现报价人的最终报价明显低于其他单位报价，使得其谈判报价可能低于其成本的，应当要求该报价人作出书面说明并提供相应的证明材料。报价人不能合理说明或者不能提供相应证明材料的，由竞争性谈判小组认定该报价人以低于成本报价竞标，其报价文件将被视为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最终报价有算术错误或其他错误的，谈判小组按以下原则进行修正，并要求供应商对修正后的价格进行书面澄清确认。供应商拒不澄清确认的，其响应文件将被视为无效：</w:t>
      </w:r>
    </w:p>
    <w:p>
      <w:pPr>
        <w:spacing w:line="360" w:lineRule="auto"/>
        <w:ind w:firstLine="480" w:firstLineChars="200"/>
        <w:rPr>
          <w:rFonts w:ascii="宋体" w:hAnsi="宋体" w:cs="宋体"/>
          <w:color w:val="auto"/>
          <w:sz w:val="24"/>
          <w:highlight w:val="none"/>
        </w:rPr>
      </w:pPr>
      <w:bookmarkStart w:id="541" w:name="bookmark521"/>
      <w:bookmarkEnd w:id="541"/>
      <w:r>
        <w:rPr>
          <w:rFonts w:hint="eastAsia" w:ascii="宋体" w:hAnsi="宋体" w:cs="宋体"/>
          <w:color w:val="auto"/>
          <w:sz w:val="24"/>
          <w:highlight w:val="none"/>
        </w:rPr>
        <w:t>（1）大写金额与小写金额不一致的，以大写金额为准；</w:t>
      </w:r>
    </w:p>
    <w:p>
      <w:pPr>
        <w:spacing w:line="360" w:lineRule="auto"/>
        <w:ind w:firstLine="480" w:firstLineChars="200"/>
        <w:rPr>
          <w:rFonts w:ascii="宋体" w:hAnsi="宋体" w:cs="宋体"/>
          <w:color w:val="auto"/>
          <w:sz w:val="24"/>
          <w:highlight w:val="none"/>
        </w:rPr>
      </w:pPr>
      <w:bookmarkStart w:id="542" w:name="bookmark522"/>
      <w:bookmarkEnd w:id="542"/>
      <w:r>
        <w:rPr>
          <w:rFonts w:hint="eastAsia" w:ascii="宋体" w:hAnsi="宋体" w:cs="宋体"/>
          <w:color w:val="auto"/>
          <w:sz w:val="24"/>
          <w:highlight w:val="none"/>
        </w:rPr>
        <w:t>（2）总价金额与单价金额不一致的，以单价金额为准，但单价金额小数点有明显错误的除外；</w:t>
      </w:r>
    </w:p>
    <w:p>
      <w:pPr>
        <w:spacing w:line="360" w:lineRule="auto"/>
        <w:ind w:firstLine="480" w:firstLineChars="200"/>
        <w:rPr>
          <w:rFonts w:ascii="宋体" w:hAnsi="宋体" w:cs="宋体"/>
          <w:color w:val="auto"/>
          <w:sz w:val="24"/>
          <w:highlight w:val="none"/>
        </w:rPr>
      </w:pPr>
      <w:bookmarkStart w:id="543" w:name="bookmark523"/>
      <w:bookmarkEnd w:id="543"/>
      <w:r>
        <w:rPr>
          <w:rFonts w:hint="eastAsia" w:ascii="宋体" w:hAnsi="宋体" w:cs="宋体"/>
          <w:color w:val="auto"/>
          <w:sz w:val="24"/>
          <w:highlight w:val="none"/>
        </w:rPr>
        <w:t>（3）报价表中合计报价与分项报价的合价不一致的，以各分项报价的合价累计数为准；</w:t>
      </w:r>
    </w:p>
    <w:p>
      <w:pPr>
        <w:spacing w:line="360" w:lineRule="auto"/>
        <w:ind w:firstLine="480" w:firstLineChars="200"/>
        <w:rPr>
          <w:rFonts w:ascii="宋体" w:hAnsi="宋体" w:cs="宋体"/>
          <w:color w:val="auto"/>
          <w:sz w:val="24"/>
          <w:highlight w:val="none"/>
        </w:rPr>
      </w:pPr>
      <w:bookmarkStart w:id="544" w:name="bookmark524"/>
      <w:bookmarkEnd w:id="544"/>
      <w:r>
        <w:rPr>
          <w:rFonts w:hint="eastAsia" w:ascii="宋体" w:hAnsi="宋体" w:cs="宋体"/>
          <w:color w:val="auto"/>
          <w:sz w:val="24"/>
          <w:highlight w:val="none"/>
        </w:rPr>
        <w:t>（4）如果分项报价中存在缺漏项，且缺漏项内容不属于实质性偏差的，则视为缺漏项内容的价格已包含在其他分项报价之中。</w:t>
      </w:r>
    </w:p>
    <w:p>
      <w:pPr>
        <w:pStyle w:val="5"/>
        <w:spacing w:before="0" w:after="0" w:line="360" w:lineRule="auto"/>
        <w:rPr>
          <w:rFonts w:ascii="宋体" w:hAnsi="宋体" w:cs="宋体"/>
          <w:color w:val="auto"/>
          <w:sz w:val="24"/>
          <w:szCs w:val="24"/>
          <w:highlight w:val="none"/>
        </w:rPr>
      </w:pPr>
      <w:bookmarkStart w:id="545" w:name="_Toc144974575"/>
      <w:bookmarkStart w:id="546" w:name="_Toc134866243"/>
      <w:bookmarkStart w:id="547" w:name="_Toc147994743"/>
      <w:bookmarkStart w:id="548" w:name="_Toc179632625"/>
      <w:bookmarkStart w:id="549" w:name="_Toc246996993"/>
      <w:bookmarkStart w:id="550" w:name="_Toc247085765"/>
      <w:bookmarkStart w:id="551" w:name="_Toc152042385"/>
      <w:bookmarkStart w:id="552" w:name="_Toc152045607"/>
      <w:bookmarkStart w:id="553" w:name="_Toc26138"/>
      <w:bookmarkStart w:id="554" w:name="_Toc12481"/>
      <w:bookmarkStart w:id="555" w:name="_Toc246996250"/>
      <w:bookmarkStart w:id="556" w:name="_Toc107479254"/>
      <w:bookmarkStart w:id="557" w:name="_Toc8523"/>
      <w:r>
        <w:rPr>
          <w:rFonts w:hint="eastAsia" w:ascii="宋体" w:hAnsi="宋体" w:cs="宋体"/>
          <w:color w:val="auto"/>
          <w:sz w:val="24"/>
          <w:szCs w:val="24"/>
          <w:highlight w:val="none"/>
        </w:rPr>
        <w:t>3.3 报价文件的澄清</w:t>
      </w:r>
      <w:bookmarkEnd w:id="545"/>
      <w:r>
        <w:rPr>
          <w:rFonts w:hint="eastAsia" w:ascii="宋体" w:hAnsi="宋体" w:cs="宋体"/>
          <w:color w:val="auto"/>
          <w:sz w:val="24"/>
          <w:szCs w:val="24"/>
          <w:highlight w:val="none"/>
        </w:rPr>
        <w:t>和补正</w:t>
      </w:r>
      <w:bookmarkEnd w:id="546"/>
      <w:bookmarkEnd w:id="547"/>
      <w:bookmarkEnd w:id="548"/>
      <w:bookmarkEnd w:id="549"/>
      <w:bookmarkEnd w:id="550"/>
      <w:bookmarkEnd w:id="551"/>
      <w:bookmarkEnd w:id="552"/>
      <w:bookmarkEnd w:id="553"/>
      <w:bookmarkEnd w:id="554"/>
      <w:bookmarkEnd w:id="555"/>
      <w:bookmarkEnd w:id="556"/>
      <w:bookmarkEnd w:id="55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3.3.1在评审过程中，竞争性谈判小组可以书面形式要求报价人对所提交报价文件中不明确的内容进行书面澄清或说明，或者对细微偏差进行补正。竞争性谈判小组不接受报价人主动提出的澄清、说明或补正。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澄清、说明和补正不得改变报价文件的实质性内容。报价人的书面澄清、说明和补正属于报价文件的组成部分。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竞争性谈判小组对报价人提交的澄清、说明或补正有疑问的，可以要求报价人进一步澄清、说明或补正，直至满足竞争性谈判小组的要求。</w:t>
      </w:r>
    </w:p>
    <w:p>
      <w:pPr>
        <w:pStyle w:val="5"/>
        <w:spacing w:before="0" w:after="0" w:line="360" w:lineRule="auto"/>
        <w:rPr>
          <w:rFonts w:ascii="宋体" w:hAnsi="宋体" w:cs="宋体"/>
          <w:color w:val="auto"/>
          <w:sz w:val="24"/>
          <w:szCs w:val="24"/>
          <w:highlight w:val="none"/>
        </w:rPr>
      </w:pPr>
      <w:bookmarkStart w:id="558" w:name="_Toc246996251"/>
      <w:bookmarkStart w:id="559" w:name="_Toc152042386"/>
      <w:bookmarkStart w:id="560" w:name="_Toc179632626"/>
      <w:bookmarkStart w:id="561" w:name="_Toc107479255"/>
      <w:bookmarkStart w:id="562" w:name="_Toc134866244"/>
      <w:bookmarkStart w:id="563" w:name="_Toc144974576"/>
      <w:bookmarkStart w:id="564" w:name="_Toc22142"/>
      <w:bookmarkStart w:id="565" w:name="_Toc247085766"/>
      <w:bookmarkStart w:id="566" w:name="_Toc152045608"/>
      <w:bookmarkStart w:id="567" w:name="_Toc147994744"/>
      <w:bookmarkStart w:id="568" w:name="_Toc246996994"/>
      <w:bookmarkStart w:id="569" w:name="_Toc26599"/>
      <w:bookmarkStart w:id="570" w:name="_Toc1983"/>
      <w:r>
        <w:rPr>
          <w:rFonts w:hint="eastAsia" w:ascii="宋体" w:hAnsi="宋体" w:cs="宋体"/>
          <w:color w:val="auto"/>
          <w:sz w:val="24"/>
          <w:szCs w:val="24"/>
          <w:highlight w:val="none"/>
        </w:rPr>
        <w:t>3.4 评审结果</w:t>
      </w:r>
      <w:bookmarkEnd w:id="558"/>
      <w:bookmarkEnd w:id="559"/>
      <w:bookmarkEnd w:id="560"/>
      <w:bookmarkEnd w:id="561"/>
      <w:bookmarkEnd w:id="562"/>
      <w:bookmarkEnd w:id="563"/>
      <w:bookmarkEnd w:id="564"/>
      <w:bookmarkEnd w:id="565"/>
      <w:bookmarkEnd w:id="566"/>
      <w:bookmarkEnd w:id="567"/>
      <w:bookmarkEnd w:id="568"/>
      <w:bookmarkEnd w:id="569"/>
      <w:bookmarkEnd w:id="57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3.4.1除第一章“报价人须知”前附表授权直接确定成交报价人外，竞争性谈判小组按照得分由高到低的顺序推荐成交候选报价人。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竞争性谈判小组完成评审后，应当向采购人提交书面评审报告。</w:t>
      </w:r>
    </w:p>
    <w:p>
      <w:pPr>
        <w:keepNext/>
        <w:keepLines/>
        <w:adjustRightInd w:val="0"/>
        <w:snapToGrid w:val="0"/>
        <w:spacing w:line="360" w:lineRule="auto"/>
        <w:ind w:firstLine="480" w:firstLineChars="200"/>
        <w:rPr>
          <w:rFonts w:ascii="宋体" w:hAnsi="宋体" w:cs="黑体"/>
          <w:color w:val="auto"/>
          <w:kern w:val="44"/>
          <w:sz w:val="24"/>
          <w:highlight w:val="none"/>
          <w:lang w:val="zh-CN"/>
        </w:rPr>
      </w:pPr>
    </w:p>
    <w:p>
      <w:pPr>
        <w:spacing w:line="360" w:lineRule="auto"/>
        <w:jc w:val="center"/>
        <w:outlineLvl w:val="0"/>
        <w:rPr>
          <w:rFonts w:ascii="宋体" w:hAnsi="宋体" w:cs="宋体"/>
          <w:b/>
          <w:bCs/>
          <w:color w:val="auto"/>
          <w:kern w:val="44"/>
          <w:sz w:val="44"/>
          <w:szCs w:val="44"/>
          <w:highlight w:val="none"/>
        </w:rPr>
      </w:pPr>
    </w:p>
    <w:p>
      <w:pPr>
        <w:spacing w:line="360" w:lineRule="auto"/>
        <w:jc w:val="center"/>
        <w:outlineLvl w:val="0"/>
        <w:rPr>
          <w:rFonts w:ascii="宋体" w:hAnsi="宋体" w:cs="宋体"/>
          <w:b/>
          <w:bCs/>
          <w:color w:val="auto"/>
          <w:kern w:val="44"/>
          <w:sz w:val="44"/>
          <w:szCs w:val="44"/>
          <w:highlight w:val="none"/>
        </w:rPr>
      </w:pPr>
      <w:r>
        <w:rPr>
          <w:rFonts w:ascii="宋体" w:hAnsi="宋体" w:cs="宋体"/>
          <w:b/>
          <w:bCs/>
          <w:color w:val="auto"/>
          <w:kern w:val="44"/>
          <w:sz w:val="44"/>
          <w:szCs w:val="44"/>
          <w:highlight w:val="none"/>
        </w:rPr>
        <w:br w:type="page"/>
      </w:r>
      <w:bookmarkStart w:id="571" w:name="_Toc147994745"/>
      <w:r>
        <w:rPr>
          <w:rFonts w:hint="eastAsia" w:ascii="宋体" w:hAnsi="宋体" w:cs="宋体"/>
          <w:b/>
          <w:bCs/>
          <w:color w:val="auto"/>
          <w:kern w:val="44"/>
          <w:sz w:val="44"/>
          <w:szCs w:val="44"/>
          <w:highlight w:val="none"/>
        </w:rPr>
        <w:t>第三章 合同条款及格式</w:t>
      </w:r>
      <w:bookmarkEnd w:id="472"/>
      <w:bookmarkEnd w:id="473"/>
      <w:bookmarkEnd w:id="474"/>
      <w:bookmarkEnd w:id="475"/>
      <w:bookmarkEnd w:id="476"/>
      <w:bookmarkEnd w:id="477"/>
      <w:bookmarkEnd w:id="478"/>
      <w:bookmarkEnd w:id="571"/>
    </w:p>
    <w:p>
      <w:pPr>
        <w:spacing w:line="360" w:lineRule="auto"/>
        <w:rPr>
          <w:rFonts w:ascii="仿宋_GB2312" w:hAnsi="宋体" w:eastAsia="仿宋_GB2312"/>
          <w:b/>
          <w:color w:val="auto"/>
          <w:sz w:val="48"/>
          <w:szCs w:val="48"/>
          <w:highlight w:val="none"/>
        </w:rPr>
      </w:pPr>
      <w:bookmarkStart w:id="572" w:name="_Toc152042554"/>
      <w:bookmarkStart w:id="573" w:name="_Toc179632789"/>
      <w:bookmarkStart w:id="574" w:name="_Toc247085855"/>
      <w:bookmarkStart w:id="575" w:name="_Toc152045772"/>
      <w:bookmarkStart w:id="576" w:name="_Toc246996340"/>
      <w:bookmarkStart w:id="577" w:name="_Toc246997083"/>
      <w:bookmarkStart w:id="578" w:name="_Toc144974834"/>
    </w:p>
    <w:p>
      <w:pPr>
        <w:spacing w:line="360" w:lineRule="auto"/>
        <w:jc w:val="center"/>
        <w:rPr>
          <w:rFonts w:ascii="仿宋_GB2312" w:hAnsi="宋体" w:eastAsia="仿宋_GB2312"/>
          <w:b/>
          <w:color w:val="auto"/>
          <w:sz w:val="56"/>
          <w:szCs w:val="56"/>
          <w:highlight w:val="none"/>
        </w:rPr>
      </w:pPr>
      <w:r>
        <w:rPr>
          <w:rFonts w:hint="eastAsia" w:ascii="仿宋_GB2312" w:hAnsi="宋体" w:eastAsia="仿宋_GB2312"/>
          <w:b/>
          <w:color w:val="auto"/>
          <w:sz w:val="56"/>
          <w:szCs w:val="56"/>
          <w:highlight w:val="none"/>
        </w:rPr>
        <w:t>山东颐养健康集团肥城医院</w:t>
      </w:r>
    </w:p>
    <w:p>
      <w:pPr>
        <w:spacing w:line="360" w:lineRule="auto"/>
        <w:jc w:val="center"/>
        <w:rPr>
          <w:rFonts w:ascii="仿宋_GB2312" w:hAnsi="宋体" w:eastAsia="仿宋_GB2312"/>
          <w:b/>
          <w:color w:val="auto"/>
          <w:sz w:val="56"/>
          <w:szCs w:val="56"/>
          <w:highlight w:val="none"/>
        </w:rPr>
      </w:pPr>
      <w:r>
        <w:rPr>
          <w:rFonts w:hint="eastAsia" w:ascii="仿宋_GB2312" w:hAnsi="宋体" w:eastAsia="仿宋_GB2312"/>
          <w:b/>
          <w:color w:val="auto"/>
          <w:sz w:val="56"/>
          <w:szCs w:val="56"/>
          <w:highlight w:val="none"/>
        </w:rPr>
        <w:t>装修改造工程</w:t>
      </w:r>
    </w:p>
    <w:p>
      <w:pPr>
        <w:spacing w:line="360" w:lineRule="auto"/>
        <w:jc w:val="center"/>
        <w:rPr>
          <w:rFonts w:ascii="仿宋_GB2312" w:hAnsi="宋体" w:eastAsia="仿宋_GB2312"/>
          <w:b/>
          <w:color w:val="auto"/>
          <w:sz w:val="44"/>
          <w:szCs w:val="44"/>
          <w:highlight w:val="none"/>
        </w:rPr>
      </w:pPr>
      <w:r>
        <w:rPr>
          <w:rFonts w:ascii="仿宋_GB2312" w:hAnsi="宋体" w:eastAsia="仿宋_GB2312"/>
          <w:b/>
          <w:color w:val="auto"/>
          <w:sz w:val="56"/>
          <w:szCs w:val="56"/>
          <w:highlight w:val="none"/>
        </w:rPr>
        <w:t>施工合同</w:t>
      </w:r>
    </w:p>
    <w:p>
      <w:pPr>
        <w:spacing w:line="360" w:lineRule="auto"/>
        <w:ind w:firstLine="550" w:firstLineChars="250"/>
        <w:rPr>
          <w:rFonts w:ascii="仿宋_GB2312" w:hAnsi="宋体" w:eastAsia="仿宋_GB2312"/>
          <w:color w:val="auto"/>
          <w:sz w:val="22"/>
          <w:szCs w:val="18"/>
          <w:highlight w:val="none"/>
        </w:rPr>
      </w:pPr>
    </w:p>
    <w:p>
      <w:pPr>
        <w:spacing w:line="360" w:lineRule="auto"/>
        <w:ind w:firstLine="600" w:firstLineChars="250"/>
        <w:rPr>
          <w:rFonts w:ascii="仿宋_GB2312" w:hAnsi="宋体" w:eastAsia="仿宋_GB2312"/>
          <w:color w:val="auto"/>
          <w:sz w:val="24"/>
          <w:szCs w:val="20"/>
          <w:highlight w:val="none"/>
        </w:rPr>
      </w:pPr>
    </w:p>
    <w:p>
      <w:pPr>
        <w:spacing w:line="360" w:lineRule="auto"/>
        <w:ind w:firstLine="600" w:firstLineChars="250"/>
        <w:rPr>
          <w:rFonts w:ascii="仿宋_GB2312" w:hAnsi="宋体" w:eastAsia="仿宋_GB2312"/>
          <w:color w:val="auto"/>
          <w:sz w:val="24"/>
          <w:szCs w:val="20"/>
          <w:highlight w:val="none"/>
        </w:rPr>
      </w:pPr>
    </w:p>
    <w:p>
      <w:pPr>
        <w:spacing w:line="360" w:lineRule="auto"/>
        <w:ind w:firstLine="600" w:firstLineChars="250"/>
        <w:rPr>
          <w:rFonts w:ascii="仿宋_GB2312" w:hAnsi="宋体" w:eastAsia="仿宋_GB2312"/>
          <w:color w:val="auto"/>
          <w:sz w:val="24"/>
          <w:szCs w:val="20"/>
          <w:highlight w:val="none"/>
        </w:rPr>
      </w:pPr>
    </w:p>
    <w:p>
      <w:pPr>
        <w:rPr>
          <w:color w:val="auto"/>
          <w:highlight w:val="none"/>
        </w:rPr>
      </w:pPr>
    </w:p>
    <w:p>
      <w:pPr>
        <w:spacing w:line="360" w:lineRule="auto"/>
        <w:ind w:firstLine="600" w:firstLineChars="250"/>
        <w:rPr>
          <w:rFonts w:ascii="仿宋_GB2312" w:hAnsi="宋体" w:eastAsia="仿宋_GB2312"/>
          <w:color w:val="auto"/>
          <w:sz w:val="24"/>
          <w:szCs w:val="20"/>
          <w:highlight w:val="none"/>
        </w:rPr>
      </w:pPr>
    </w:p>
    <w:p>
      <w:pPr>
        <w:spacing w:line="360" w:lineRule="auto"/>
        <w:ind w:firstLine="600" w:firstLineChars="250"/>
        <w:rPr>
          <w:rFonts w:ascii="仿宋_GB2312" w:hAnsi="宋体" w:eastAsia="仿宋_GB2312"/>
          <w:color w:val="auto"/>
          <w:sz w:val="24"/>
          <w:szCs w:val="20"/>
          <w:highlight w:val="none"/>
        </w:rPr>
      </w:pPr>
    </w:p>
    <w:p>
      <w:pPr>
        <w:spacing w:line="360" w:lineRule="auto"/>
        <w:rPr>
          <w:rFonts w:ascii="宋体" w:hAnsi="宋体"/>
          <w:color w:val="auto"/>
          <w:sz w:val="32"/>
          <w:szCs w:val="32"/>
          <w:highlight w:val="none"/>
        </w:rPr>
      </w:pPr>
    </w:p>
    <w:p>
      <w:pPr>
        <w:spacing w:line="360" w:lineRule="auto"/>
        <w:ind w:firstLine="320" w:firstLineChars="100"/>
        <w:rPr>
          <w:rFonts w:ascii="宋体" w:hAnsi="宋体"/>
          <w:color w:val="auto"/>
          <w:sz w:val="32"/>
          <w:szCs w:val="32"/>
          <w:highlight w:val="none"/>
        </w:rPr>
      </w:pPr>
    </w:p>
    <w:p>
      <w:pPr>
        <w:spacing w:line="360" w:lineRule="auto"/>
        <w:ind w:firstLine="320" w:firstLineChars="100"/>
        <w:rPr>
          <w:rFonts w:ascii="宋体" w:hAnsi="宋体"/>
          <w:color w:val="auto"/>
          <w:sz w:val="32"/>
          <w:szCs w:val="32"/>
          <w:highlight w:val="none"/>
        </w:rPr>
      </w:pPr>
    </w:p>
    <w:p>
      <w:pPr>
        <w:spacing w:line="360" w:lineRule="auto"/>
        <w:ind w:firstLine="1920" w:firstLineChars="600"/>
        <w:rPr>
          <w:rFonts w:ascii="宋体" w:hAnsi="宋体"/>
          <w:color w:val="auto"/>
          <w:sz w:val="32"/>
          <w:szCs w:val="32"/>
          <w:highlight w:val="none"/>
        </w:rPr>
      </w:pPr>
      <w:r>
        <w:rPr>
          <w:rFonts w:ascii="宋体" w:hAnsi="宋体"/>
          <w:color w:val="auto"/>
          <w:sz w:val="32"/>
          <w:szCs w:val="32"/>
          <w:highlight w:val="none"/>
        </w:rPr>
        <w:t>甲方：</w:t>
      </w:r>
      <w:r>
        <w:rPr>
          <w:rFonts w:hint="eastAsia" w:ascii="宋体" w:hAnsi="宋体"/>
          <w:color w:val="auto"/>
          <w:sz w:val="32"/>
          <w:szCs w:val="32"/>
          <w:highlight w:val="none"/>
          <w:u w:val="single"/>
        </w:rPr>
        <w:t>山东颐养健康集团肥城医院</w:t>
      </w:r>
    </w:p>
    <w:p>
      <w:pPr>
        <w:spacing w:line="360" w:lineRule="auto"/>
        <w:ind w:firstLine="1920" w:firstLineChars="600"/>
        <w:rPr>
          <w:rFonts w:ascii="宋体" w:hAnsi="宋体"/>
          <w:color w:val="auto"/>
          <w:sz w:val="32"/>
          <w:szCs w:val="32"/>
          <w:highlight w:val="none"/>
        </w:rPr>
      </w:pPr>
      <w:r>
        <w:rPr>
          <w:rFonts w:ascii="宋体" w:hAnsi="宋体"/>
          <w:color w:val="auto"/>
          <w:sz w:val="32"/>
          <w:szCs w:val="32"/>
          <w:highlight w:val="none"/>
        </w:rPr>
        <w:t>乙方：</w:t>
      </w:r>
    </w:p>
    <w:p>
      <w:pPr>
        <w:spacing w:line="360" w:lineRule="auto"/>
        <w:ind w:firstLine="1920" w:firstLineChars="600"/>
        <w:rPr>
          <w:rFonts w:ascii="宋体" w:hAnsi="宋体"/>
          <w:color w:val="auto"/>
          <w:sz w:val="32"/>
          <w:szCs w:val="32"/>
          <w:highlight w:val="none"/>
        </w:rPr>
      </w:pPr>
      <w:r>
        <w:rPr>
          <w:rFonts w:ascii="宋体" w:hAnsi="宋体"/>
          <w:color w:val="auto"/>
          <w:sz w:val="32"/>
          <w:szCs w:val="32"/>
          <w:highlight w:val="none"/>
        </w:rPr>
        <w:t>签订日期： 2023 年    月   日</w:t>
      </w:r>
    </w:p>
    <w:p>
      <w:pPr>
        <w:spacing w:line="360" w:lineRule="auto"/>
        <w:ind w:firstLine="600" w:firstLineChars="250"/>
        <w:rPr>
          <w:rFonts w:ascii="仿宋_GB2312" w:hAnsi="宋体" w:eastAsia="仿宋_GB2312"/>
          <w:color w:val="auto"/>
          <w:sz w:val="24"/>
          <w:szCs w:val="20"/>
          <w:highlight w:val="none"/>
        </w:rPr>
      </w:pPr>
    </w:p>
    <w:p>
      <w:pPr>
        <w:widowControl/>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br w:type="page"/>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甲方：</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乙方：</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乙方承建甲方，甲乙双方根据《中华人民共和国</w:t>
      </w:r>
      <w:r>
        <w:rPr>
          <w:rFonts w:hint="eastAsia" w:ascii="仿宋_GB2312" w:hAnsi="宋体" w:eastAsia="仿宋_GB2312"/>
          <w:color w:val="auto"/>
          <w:sz w:val="24"/>
          <w:szCs w:val="20"/>
          <w:highlight w:val="none"/>
        </w:rPr>
        <w:t>民法典</w:t>
      </w:r>
      <w:r>
        <w:rPr>
          <w:rFonts w:ascii="仿宋_GB2312" w:hAnsi="宋体" w:eastAsia="仿宋_GB2312"/>
          <w:color w:val="auto"/>
          <w:sz w:val="24"/>
          <w:szCs w:val="20"/>
          <w:highlight w:val="none"/>
        </w:rPr>
        <w:t>》规定和本工程具体情况，经平等充分协商，订立本合同：</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一、工程概况</w:t>
      </w:r>
    </w:p>
    <w:p>
      <w:pPr>
        <w:spacing w:line="360" w:lineRule="auto"/>
        <w:ind w:firstLine="597" w:firstLineChars="249"/>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1、工程名称：</w:t>
      </w:r>
    </w:p>
    <w:p>
      <w:pPr>
        <w:spacing w:line="360" w:lineRule="auto"/>
        <w:ind w:firstLine="597" w:firstLineChars="249"/>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2、工程地点：</w:t>
      </w:r>
    </w:p>
    <w:p>
      <w:pPr>
        <w:spacing w:line="360" w:lineRule="auto"/>
        <w:ind w:firstLine="597" w:firstLineChars="249"/>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3、承包范围：</w:t>
      </w:r>
    </w:p>
    <w:p>
      <w:pPr>
        <w:spacing w:line="360" w:lineRule="auto"/>
        <w:ind w:firstLine="597" w:firstLineChars="249"/>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4、承包方式：在承包范围内以包工、包料、包水电费，包工期、包质量、包安全、包文明施工、包全部施工风险的形式由乙方承包。</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二、工程工期：</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工期： 日历天。（具体开工时间以甲方实际通知为准）。</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该工期包含乙方完成本合同约定的全部施工内容并经验收合格所用的全部时间，以充分考虑天气、节假日等各种因素，不因任何原因而延长。</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三、合同价款与合同价格形式</w:t>
      </w:r>
      <w:r>
        <w:rPr>
          <w:rFonts w:ascii="仿宋_GB2312" w:hAnsi="宋体" w:eastAsia="仿宋_GB2312"/>
          <w:b/>
          <w:bCs/>
          <w:color w:val="auto"/>
          <w:sz w:val="28"/>
          <w:szCs w:val="28"/>
          <w:highlight w:val="none"/>
        </w:rPr>
        <w:tab/>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1.合同价款为：</w:t>
      </w:r>
    </w:p>
    <w:p>
      <w:pPr>
        <w:spacing w:line="360" w:lineRule="auto"/>
        <w:ind w:left="479" w:leftChars="228"/>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人民币（大写） (¥元)；</w:t>
      </w:r>
    </w:p>
    <w:p>
      <w:pPr>
        <w:spacing w:line="360" w:lineRule="auto"/>
        <w:ind w:left="479" w:leftChars="228"/>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2.合同价格形式：本工程采用</w:t>
      </w:r>
      <w:r>
        <w:rPr>
          <w:rFonts w:hint="eastAsia" w:ascii="仿宋_GB2312" w:hAnsi="宋体" w:eastAsia="仿宋_GB2312"/>
          <w:color w:val="auto"/>
          <w:sz w:val="24"/>
          <w:szCs w:val="20"/>
          <w:highlight w:val="none"/>
        </w:rPr>
        <w:t>固定总价</w:t>
      </w:r>
      <w:r>
        <w:rPr>
          <w:rFonts w:ascii="仿宋_GB2312" w:hAnsi="宋体" w:eastAsia="仿宋_GB2312"/>
          <w:color w:val="auto"/>
          <w:sz w:val="24"/>
          <w:szCs w:val="20"/>
          <w:highlight w:val="none"/>
        </w:rPr>
        <w:t>。</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 xml:space="preserve">四、结算方式： </w:t>
      </w:r>
    </w:p>
    <w:p>
      <w:pPr>
        <w:spacing w:line="360" w:lineRule="auto"/>
        <w:ind w:firstLine="480" w:firstLineChars="200"/>
        <w:rPr>
          <w:rFonts w:ascii="宋体" w:hAnsi="宋体"/>
          <w:color w:val="auto"/>
          <w:sz w:val="24"/>
          <w:szCs w:val="20"/>
          <w:highlight w:val="none"/>
        </w:rPr>
      </w:pPr>
      <w:r>
        <w:rPr>
          <w:rFonts w:ascii="仿宋_GB2312" w:hAnsi="宋体" w:eastAsia="仿宋_GB2312"/>
          <w:color w:val="auto"/>
          <w:sz w:val="24"/>
          <w:szCs w:val="20"/>
          <w:highlight w:val="none"/>
        </w:rPr>
        <w:t>本工程合同价款以清单及图纸范围为依据，固定</w:t>
      </w:r>
      <w:r>
        <w:rPr>
          <w:rFonts w:hint="eastAsia" w:ascii="仿宋_GB2312" w:hAnsi="宋体" w:eastAsia="仿宋_GB2312"/>
          <w:color w:val="auto"/>
          <w:sz w:val="24"/>
          <w:szCs w:val="20"/>
          <w:highlight w:val="none"/>
        </w:rPr>
        <w:t>总价</w:t>
      </w:r>
      <w:r>
        <w:rPr>
          <w:rFonts w:ascii="仿宋_GB2312" w:hAnsi="宋体" w:eastAsia="仿宋_GB2312"/>
          <w:color w:val="auto"/>
          <w:sz w:val="24"/>
          <w:szCs w:val="20"/>
          <w:highlight w:val="none"/>
        </w:rPr>
        <w:t>包括但不限于人工费、材料费、制作费、安装费、运输费、装卸费、机械进出场费、管理费、水电费、检测费、验收费、保险、保修、利润、税金、各项措施费用、规费及完成本工程所有责任、义务、风险、与各相关单位间配合服务等一切费用，已综合考虑人工费、材料费上涨等各种可能影响合同价款的因素，除</w:t>
      </w:r>
      <w:r>
        <w:rPr>
          <w:rFonts w:hint="eastAsia" w:ascii="仿宋_GB2312" w:hAnsi="宋体" w:eastAsia="仿宋_GB2312"/>
          <w:color w:val="auto"/>
          <w:sz w:val="24"/>
          <w:szCs w:val="20"/>
          <w:highlight w:val="none"/>
        </w:rPr>
        <w:t>变更签证等</w:t>
      </w:r>
      <w:r>
        <w:rPr>
          <w:rFonts w:ascii="仿宋_GB2312" w:hAnsi="宋体" w:eastAsia="仿宋_GB2312"/>
          <w:color w:val="auto"/>
          <w:sz w:val="24"/>
          <w:szCs w:val="20"/>
          <w:highlight w:val="none"/>
        </w:rPr>
        <w:t>根据实际工程量据实结算的价款</w:t>
      </w:r>
      <w:r>
        <w:rPr>
          <w:rFonts w:hint="eastAsia" w:ascii="仿宋_GB2312" w:hAnsi="宋体" w:eastAsia="仿宋_GB2312"/>
          <w:color w:val="auto"/>
          <w:sz w:val="24"/>
          <w:szCs w:val="20"/>
          <w:highlight w:val="none"/>
        </w:rPr>
        <w:t>调整</w:t>
      </w:r>
      <w:r>
        <w:rPr>
          <w:rFonts w:ascii="仿宋_GB2312" w:hAnsi="宋体" w:eastAsia="仿宋_GB2312"/>
          <w:color w:val="auto"/>
          <w:sz w:val="24"/>
          <w:szCs w:val="20"/>
          <w:highlight w:val="none"/>
        </w:rPr>
        <w:t>外，乙方无权要求甲方另行支付任何其他费用。</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五、质量标准：</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1、工程质量满足施工图纸及相关规范规定，质量标准的评定以最新国家或行业的合格质量检验评定标准为依据。</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乙方在工程施工中采购及进场的材料必须符合设计要求及技术标准、国家最新消防、环保标准要求，同时在使用前向甲方提供材料、制品、构件的出厂合格证、质量检验合格证书、质量保证书、保险公司承保证明等资料，甲方检验、验收合格后方可进场，检验应当由书面记录和专人签字，该检验、验收并不能减轻或免除乙方对质量（含消防、环保标准）瑕疵的保证责任。</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3、施工中乙方根据甲方要求应随时提供关于工程质量的技术资料，如材料、设备出厂合格证、试验报告等，如需更换材料必须先经过甲方审核同意并出具书面意见后，方可更换。</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4、乙方必须健全质量检查制度，在现场要设置专职质量安全检查员，并做好自检记录。</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5、凡隐蔽工程，经乙方自检后，应分批填制准确的隐蔽记录，凭表通知甲方检查，检验确认合格后，方可隐蔽。</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6、在施工过程中，如果任何检验表明，乙方所用材料或工程设备不合格，甲方有权指令乙方在规定的时间内将不合格的材料或工程设备运出现场，更换合格的材料，费用由乙方自行承担，并且工期不予顺延。</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7、施工工序不符合设计要求，施工质量不合格，甲方有权对乙方要求返工，返工的费用由乙方自行承担，完工工期不予顺延。</w:t>
      </w:r>
    </w:p>
    <w:p>
      <w:pPr>
        <w:spacing w:line="360" w:lineRule="auto"/>
        <w:ind w:firstLine="562" w:firstLineChars="200"/>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六、付款方式：</w:t>
      </w:r>
    </w:p>
    <w:p>
      <w:pPr>
        <w:spacing w:line="360" w:lineRule="auto"/>
        <w:ind w:firstLine="480" w:firstLineChars="200"/>
        <w:rPr>
          <w:rFonts w:ascii="仿宋_GB2312" w:eastAsia="仿宋_GB2312"/>
          <w:color w:val="auto"/>
          <w:sz w:val="24"/>
          <w:szCs w:val="22"/>
          <w:highlight w:val="none"/>
        </w:rPr>
      </w:pPr>
      <w:r>
        <w:rPr>
          <w:rFonts w:ascii="仿宋_GB2312" w:eastAsia="仿宋_GB2312"/>
          <w:color w:val="auto"/>
          <w:sz w:val="24"/>
          <w:szCs w:val="22"/>
          <w:highlight w:val="none"/>
        </w:rPr>
        <w:t>本工程无预付款，全部工程竣工验收合格后</w:t>
      </w:r>
      <w:r>
        <w:rPr>
          <w:rFonts w:hint="eastAsia" w:ascii="仿宋_GB2312" w:eastAsia="仿宋_GB2312"/>
          <w:color w:val="auto"/>
          <w:sz w:val="24"/>
          <w:szCs w:val="22"/>
          <w:highlight w:val="none"/>
        </w:rPr>
        <w:t>半年内</w:t>
      </w:r>
      <w:r>
        <w:rPr>
          <w:rFonts w:ascii="仿宋_GB2312" w:eastAsia="仿宋_GB2312"/>
          <w:color w:val="auto"/>
          <w:sz w:val="24"/>
          <w:szCs w:val="22"/>
          <w:highlight w:val="none"/>
        </w:rPr>
        <w:t>付至合同</w:t>
      </w:r>
      <w:r>
        <w:rPr>
          <w:rFonts w:hint="eastAsia" w:ascii="仿宋_GB2312" w:eastAsia="仿宋_GB2312"/>
          <w:color w:val="auto"/>
          <w:sz w:val="24"/>
          <w:szCs w:val="22"/>
          <w:highlight w:val="none"/>
        </w:rPr>
        <w:t>总</w:t>
      </w:r>
      <w:r>
        <w:rPr>
          <w:rFonts w:ascii="仿宋_GB2312" w:eastAsia="仿宋_GB2312"/>
          <w:color w:val="auto"/>
          <w:sz w:val="24"/>
          <w:szCs w:val="22"/>
          <w:highlight w:val="none"/>
        </w:rPr>
        <w:t>价款的</w:t>
      </w:r>
      <w:r>
        <w:rPr>
          <w:rFonts w:hint="eastAsia" w:ascii="仿宋_GB2312" w:eastAsia="仿宋_GB2312"/>
          <w:color w:val="auto"/>
          <w:sz w:val="24"/>
          <w:szCs w:val="22"/>
          <w:highlight w:val="none"/>
        </w:rPr>
        <w:t>50</w:t>
      </w:r>
      <w:r>
        <w:rPr>
          <w:rFonts w:ascii="仿宋_GB2312" w:eastAsia="仿宋_GB2312"/>
          <w:color w:val="auto"/>
          <w:sz w:val="24"/>
          <w:szCs w:val="22"/>
          <w:highlight w:val="none"/>
        </w:rPr>
        <w:t>%，提报结算并审计定案后付至审计定案值的9</w:t>
      </w:r>
      <w:r>
        <w:rPr>
          <w:rFonts w:hint="eastAsia" w:ascii="仿宋_GB2312" w:eastAsia="仿宋_GB2312"/>
          <w:color w:val="auto"/>
          <w:sz w:val="24"/>
          <w:szCs w:val="22"/>
          <w:highlight w:val="none"/>
        </w:rPr>
        <w:t>5</w:t>
      </w:r>
      <w:r>
        <w:rPr>
          <w:rFonts w:ascii="仿宋_GB2312" w:eastAsia="仿宋_GB2312"/>
          <w:color w:val="auto"/>
          <w:sz w:val="24"/>
          <w:szCs w:val="22"/>
          <w:highlight w:val="none"/>
        </w:rPr>
        <w:t>%，剩余</w:t>
      </w:r>
      <w:r>
        <w:rPr>
          <w:rFonts w:hint="eastAsia" w:ascii="仿宋_GB2312" w:eastAsia="仿宋_GB2312"/>
          <w:color w:val="auto"/>
          <w:sz w:val="24"/>
          <w:szCs w:val="22"/>
          <w:highlight w:val="none"/>
        </w:rPr>
        <w:t>5</w:t>
      </w:r>
      <w:r>
        <w:rPr>
          <w:rFonts w:ascii="仿宋_GB2312" w:eastAsia="仿宋_GB2312"/>
          <w:color w:val="auto"/>
          <w:sz w:val="24"/>
          <w:szCs w:val="22"/>
          <w:highlight w:val="none"/>
        </w:rPr>
        <w:t>%质保金自竣工验收合格之日起，2年质保期满无质量问题，30日内一次性付清（无息）。</w:t>
      </w:r>
    </w:p>
    <w:p>
      <w:pPr>
        <w:spacing w:line="360" w:lineRule="auto"/>
        <w:ind w:firstLine="480" w:firstLineChars="200"/>
        <w:rPr>
          <w:rFonts w:ascii="宋体"/>
          <w:color w:val="auto"/>
          <w:sz w:val="24"/>
          <w:szCs w:val="20"/>
          <w:highlight w:val="none"/>
        </w:rPr>
      </w:pPr>
      <w:r>
        <w:rPr>
          <w:rFonts w:ascii="仿宋_GB2312" w:eastAsia="仿宋_GB2312"/>
          <w:color w:val="auto"/>
          <w:sz w:val="24"/>
          <w:szCs w:val="20"/>
          <w:highlight w:val="none"/>
        </w:rPr>
        <w:t>达到付款条件后，乙方须向甲方提出书面申请，并提供等额增值税专用发票（税率9%），经甲方审核无误后支付相应款项，否则，甲方有权拒绝付款。</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七、现场签证与结算</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（一）现场签证</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1、因设计变更或甲方原因导致的合同内项目增减或发生合同外的签证项目时，乙方须在签证项目完成后五天内组织甲方人员验收并提交签证申请（涉及到隐蔽项目的必须在隐蔽前通知甲方验收）。</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乙方应提交签证申请的资料包括：工程联系单（如由乙方发起的工程联系单，必须有甲方的意见及签字盖章）、《施工现场签证单》（必须有工程量原始数据、工程量应附计算过程）、现场验收计量的原始单据（甲方认可的工程人员、乙方人员签字）及照片、工程设计图纸及图纸会审资料、签证的书面理由陈述、对应本签证的单项工程验收单。</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3、以上资料由甲方签章、编号确认有效。</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（二）结算</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1、工程竣工验收合格之日起30天内，乙方应按甲方要求报送工程竣工结算资料，否则，甲方有权拒收结算资料，由此造成结算工作延误概由乙方负责。</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spacing w:line="360" w:lineRule="auto"/>
        <w:ind w:firstLine="480" w:firstLineChars="200"/>
        <w:rPr>
          <w:rFonts w:ascii="宋体" w:cs="宋体"/>
          <w:bCs/>
          <w:color w:val="auto"/>
          <w:kern w:val="0"/>
          <w:sz w:val="24"/>
          <w:szCs w:val="20"/>
          <w:highlight w:val="none"/>
        </w:rPr>
      </w:pPr>
      <w:r>
        <w:rPr>
          <w:rFonts w:ascii="仿宋_GB2312" w:hAnsi="宋体" w:eastAsia="仿宋_GB2312"/>
          <w:color w:val="auto"/>
          <w:sz w:val="24"/>
          <w:szCs w:val="20"/>
          <w:highlight w:val="none"/>
        </w:rPr>
        <w:t>3、在工程结算时经甲方核实乙方没有按照图纸、施工规范和甲方的指令进行施工，或出现偷工减料的情况，则甲方有权因乙方原因造成的上述事项不予结算，视乙方违约，由此造成的一切损失概由乙方负责</w:t>
      </w:r>
      <w:r>
        <w:rPr>
          <w:rFonts w:ascii="宋体" w:hAnsi="宋体" w:cs="宋体"/>
          <w:bCs/>
          <w:color w:val="auto"/>
          <w:kern w:val="0"/>
          <w:sz w:val="24"/>
          <w:szCs w:val="20"/>
          <w:highlight w:val="none"/>
        </w:rPr>
        <w:t>。</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八、施工图纸</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1、甲方向乙方提供图纸日期和套数: 开工前提供施工图二套。</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2、甲方对图纸的保密要求：用本工程、严禁外流。</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3、超领图纸的要求及费用承担：如乙方要求超领施工图纸，经甲方同意后甲方代为复制，复制费用由乙方承担。</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九、双方责任:</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甲方:</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1、甲方组织乙方参加的施工图纸交底与图纸会审。</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2、甲方负责审核乙方呈报施工进度安排和施工方案。</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3、甲方需设计变更时，应办理工程变更和修改设计手续，所有手续均以书面资料为准。</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4、甲方负责组织工程的竣工验收，并按合同规定的期限办理工程竣工结算。</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甲方有权对工程施工的质量、安全、进度、文明施工进行全面监督、检查及管理。如甲方发现工程施工质量、安全、进度存在问题时有权要求乙方加强管理，甚至停工整顿，对存在问题的部分必须进行返工处理，对于较严重的质量、安全隐患，经甲方多次督促整改而乙方未能执行的，甲方有权拒绝在进度报表上签字认可，直至整改完毕，由此造成的一切损失和责任概由乙方承担。</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6、甲方有权要求乙方撤换由其派遣或雇佣的工作不能胜任、玩忽职守、工作不负责任的人员。</w:t>
      </w:r>
    </w:p>
    <w:p>
      <w:pPr>
        <w:spacing w:line="360" w:lineRule="auto"/>
        <w:ind w:firstLine="480" w:firstLineChars="200"/>
        <w:rPr>
          <w:rFonts w:ascii="仿宋_GB2312" w:hAnsi="宋体" w:eastAsia="仿宋_GB2312"/>
          <w:color w:val="auto"/>
          <w:sz w:val="24"/>
          <w:szCs w:val="22"/>
          <w:highlight w:val="none"/>
          <w:lang w:val="zh-CN"/>
        </w:rPr>
      </w:pPr>
      <w:r>
        <w:rPr>
          <w:rFonts w:ascii="仿宋_GB2312" w:hAnsi="宋体" w:eastAsia="仿宋_GB2312"/>
          <w:color w:val="auto"/>
          <w:sz w:val="24"/>
          <w:szCs w:val="22"/>
          <w:highlight w:val="none"/>
          <w:lang w:val="zh-CN"/>
        </w:rPr>
        <w:t>乙方：</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1、乙方按甲方要求编制、上报施工方案、验工计价报表及其它技术资料，并按经甲方批准的施工方案及进度计划组织施工。</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2、按照甲方提供的施工图纸、施工总说明、设计变更通知单、双方签署的图纸交底会审纪要和国家现行的施工、验收规范进行施工，作好自检工作，确保工程质量及合同工期。</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3、乙方进场必须服从甲方现场管理和指令，必须接受甲方的监督，严格执行其就有关工程实施及修复所做的指令，按时参加甲方组织的各类会议。</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4、乙方须参加甲方组织的设计交底和图纸会审，做好会审记录，并签署会议纪要。</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乙方不得擅自更改甲方提供的施工用设计图纸内容，施工中如乙方发现设计有问题或严重不合理时，乙方应立即以书面形式通知甲方，由甲方与设计单位商定，提出设计修改或设计变更文件，甲、乙双方办理签证手续后，乙方方可继续施工。</w:t>
      </w:r>
    </w:p>
    <w:p>
      <w:pPr>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6、乙方在交工前负责对已完工程的成品保护工作；</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7、按施工安全规范的规定采取预防事故的措施，确保施工安全和第三者的安全。凡施工中发生的一切由乙方原因发生的安全事故，均由乙方负责，并立即书面报告甲方或主管单位备案。</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8、乙方须做到文明施工，对不合格的材料、不需用的设备、临时设施、垃圾及时进行处理，维持现场清洁，道路畅通，工程完工后清理现场，做到工完场清。</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9、在施工中，由乙方自身原因造成的停工、返工、材料、物件的倒运、机械多次进场等损失，应由乙方自行负责。</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10、乙方必须完善和完备应由乙方负责和办理的有关手续、证件（包括乙方员工在内），否则，由此造成的一切损失由乙方自行解决。</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11、乙方所提供的器材、材料均应是市消防局认可的合格厂家的产品，并负责提供产品合格证，消防验收时无条件配合验收。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12、样板间钢结构工程竣工后，应及时组织甲方验收，如达不到合同要求精装前的要求，乙方应按甲方的要求整改，直到满足精装前的要求，整改发生的费用由乙方承担，不再计入结算。</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13、全部工程竣工验收后，必须在3天内清理场地并撤离施工现场。</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14、委派为项目经理，同时作为施工联络人（</w:t>
      </w:r>
      <w:r>
        <w:rPr>
          <w:rFonts w:ascii="仿宋_GB2312" w:hAnsi="宋体" w:eastAsia="仿宋_GB2312"/>
          <w:b/>
          <w:bCs/>
          <w:color w:val="auto"/>
          <w:sz w:val="24"/>
          <w:szCs w:val="20"/>
          <w:highlight w:val="none"/>
          <w:u w:val="single"/>
        </w:rPr>
        <w:t xml:space="preserve">电话：     </w:t>
      </w:r>
      <w:r>
        <w:rPr>
          <w:rFonts w:ascii="仿宋_GB2312" w:hAnsi="宋体" w:eastAsia="仿宋_GB2312"/>
          <w:color w:val="auto"/>
          <w:sz w:val="24"/>
          <w:szCs w:val="20"/>
          <w:highlight w:val="none"/>
        </w:rPr>
        <w:t>），须持有与工程项目相适应的资格证书，负责施工期间的施工质量、安全等事宜。</w:t>
      </w:r>
    </w:p>
    <w:p>
      <w:pPr>
        <w:autoSpaceDE w:val="0"/>
        <w:autoSpaceDN w:val="0"/>
        <w:adjustRightInd w:val="0"/>
        <w:spacing w:line="360" w:lineRule="auto"/>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乙方项目经理和技术负责人必须驻施工现场，且不得更换，否则，按违约处理。乙方未经甲方批准而擅自更换项目经理及技术人员每人次处罚1万元人民币；项目经理、技术负责人、各专业主要管理人员按照甲方的要求每日进行考勤，未按要求进行考勤按缺勤论处，每缺勤一日按1000元处罚。项目经理及其他管理人员未经甲方同意擅自离开工地，乙方向甲方支付2000元／日的违约金。</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十、工程验收：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1、工程验收以施工图、竣工图及签证记录、有关变更的书面文件、国家颁发的施工、验收规范为依据。</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工程具备覆盖、掩盖条件或达到合同约定的中间验收条件，乙方自检合格后在隐蔽和中间验收前24小时通知甲方参加。通知包括乙方自检记录、隐蔽和中间验收的内容、验收时间和地点。乙方准备验收记录，验收合格，甲方代表及供料单位代表在验收记录上签字后，方可进行隐蔽或继续施工。验收不合格，乙方在限定时间内修改后重新验收，工期不予顺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3、乙方在完工前两天内，书面通知甲方作预验收检查。</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工程具备竣工验收条件，乙方按国家和本市工程竣工有关规定，向甲方代表提供完整竣工资料和竣工验收报告。竣工资料一式肆份，其中原件壹份，副件叁份，按本工程所在地、区域所管辖的质监站有关规定进行编制，并需符合泰安市档案管理部门的要求，并于工程竣工验收后按甲方的要求向甲方完整移交竣工档案。甲方在收到乙方送交完整的竣工资料和竣工验收报告后及时组织甲方进行验收，并给予乙方批复或提出整改意见，乙方按要求整改，并承担由于自身原因造成的修改费用，工期不顺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5、工程竣工验收通过验收合格并经甲方书面确认的日期为实际竣工日期。工程按甲方要求修改后通过竣工验收的，实际竣工日期，为修改后工程竣工验收合格经甲方书面确认的日期。</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6．竣工工程经验收符合合同要求质量标准者，如乙方不能按时交付，应按逾期竣工处理，不得因有经济纠纷而拒绝交付。</w:t>
      </w:r>
    </w:p>
    <w:p>
      <w:pPr>
        <w:spacing w:line="360" w:lineRule="auto"/>
        <w:ind w:firstLine="562"/>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十一、质保期</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工程质保期两年，自工程竣工验收合格交付甲方使用之日起计算。在质保期内，工程出现问题，乙方应在接到甲方通知后12小时内赶到现场，一般问题乙方应在赶到现场后12小时内处理完毕，并经甲方验收合格；重大问题乙方应立即赶到现场并在在赶到现场后48小时内处理完毕，并经甲方验收合格。乙方不在约定期限内派人修理，甲方可委托其他人员维修，维修费用从质量保修金内扣除。质保期内乙方提供免费维修和免费更换服务。质保期外提供终身维护。质保期外的维护，乙方仅收取材料成本费，不收取人工费。</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2、联系方式</w:t>
      </w:r>
    </w:p>
    <w:p>
      <w:pPr>
        <w:snapToGrid w:val="0"/>
        <w:spacing w:line="360" w:lineRule="auto"/>
        <w:ind w:firstLine="480" w:firstLineChars="200"/>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乙方通讯地址：</w:t>
      </w:r>
    </w:p>
    <w:p>
      <w:pPr>
        <w:tabs>
          <w:tab w:val="left" w:pos="3795"/>
        </w:tabs>
        <w:spacing w:line="360" w:lineRule="auto"/>
        <w:ind w:firstLine="480" w:firstLineChars="200"/>
        <w:rPr>
          <w:rFonts w:ascii="仿宋_GB2312" w:hAnsi="宋体" w:eastAsia="仿宋_GB2312"/>
          <w:color w:val="auto"/>
          <w:sz w:val="24"/>
          <w:szCs w:val="20"/>
          <w:highlight w:val="none"/>
          <w:u w:val="single"/>
        </w:rPr>
      </w:pPr>
      <w:r>
        <w:rPr>
          <w:rFonts w:ascii="仿宋_GB2312" w:hAnsi="宋体" w:eastAsia="仿宋_GB2312"/>
          <w:color w:val="auto"/>
          <w:sz w:val="24"/>
          <w:szCs w:val="20"/>
          <w:highlight w:val="none"/>
        </w:rPr>
        <w:t xml:space="preserve">联系人及联系方式: </w:t>
      </w:r>
    </w:p>
    <w:p>
      <w:pPr>
        <w:spacing w:line="360" w:lineRule="auto"/>
        <w:ind w:firstLine="480" w:firstLineChars="200"/>
        <w:rPr>
          <w:rFonts w:ascii="仿宋_GB2312" w:hAnsi="宋体" w:eastAsia="仿宋_GB2312"/>
          <w:color w:val="auto"/>
          <w:sz w:val="24"/>
          <w:szCs w:val="20"/>
          <w:highlight w:val="none"/>
          <w:u w:val="single"/>
        </w:rPr>
      </w:pPr>
      <w:r>
        <w:rPr>
          <w:rFonts w:ascii="仿宋_GB2312" w:hAnsi="宋体" w:eastAsia="仿宋_GB2312"/>
          <w:color w:val="auto"/>
          <w:sz w:val="24"/>
          <w:szCs w:val="20"/>
          <w:highlight w:val="none"/>
        </w:rPr>
        <w:t>邮箱：</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乙方均保证其在本合同中提供的联系地址及联系方式真实有效，保证甲方按该地址及联系方式邮寄或送达的邮件或物品及传真、电子邮件均能送达乙方，若出现拒收、代收、退回等情形，均视为已送达乙方。乙方更改地址及联系方式应提前三日以书面形式通知甲方，否则应自行承担一切不利后果。</w:t>
      </w:r>
    </w:p>
    <w:p>
      <w:pPr>
        <w:spacing w:line="360" w:lineRule="auto"/>
        <w:ind w:firstLine="562"/>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t>十二、组成本合同的文件及优先解释顺序如下：</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1、双方签署的有关本合同的补充协议、承诺函、变更等；</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2、本合同书；</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3、本合同附件；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4、谈判文件及附件；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5、标准、规范及有关技术文件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6、响应文件及附件；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7、成交通知书</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8、图纸；</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9、工程报价单或预算书。</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同一层次的合同文件规定有矛盾的，以较后时间制订的为准。</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十三、违约责任</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1、乙方未按照合同约定时间完成施工，每延迟一天，向甲方支付合同价款3‰的违约金，延期超过5天，甲方有权解除合同，乙方应向甲方支付合同价款20％的违约金并据实赔偿给甲方损失。</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施工过程中如果存在质量问题，乙方应无偿返工至合格，工期不予顺延。如乙方未按甲方的指令或要求进行整改，逾期达5天仍未符合约定标准，或同一部位经两次整改仍未符合合同约定标准及甲方要求的，甲方有权解除合同，乙方应向甲方支付合同价款10％的违约金。</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3、未经甲方书面同意，乙方不得将本合同项下的权利、义务转让他人，否则，甲方有权解除合同，乙方应向甲方支付合同价款20％的违约金并据实赔偿给甲方造成的一切损失。</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乙方应按照合同约定履行保修义务，否则每迟延1小时向甲方支付合同价款2‰的违约金，乙方拒绝履行保修义务或者超过约定时间12小时仍不履行保修义务的，甲方有权另行委托第三方进行维修，由此发生的费用均由乙方承担，且乙方应对第三方的维修承担保修责任。对于维修费用，甲方有权从质保金中扣除。</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5、乙方依据本合同应向甲方支付的违约金、损害赔偿金等款项，甲方有权从应支付给乙方的款项中直接扣除；不足部分，甲方有权向乙方追索。</w:t>
      </w:r>
    </w:p>
    <w:p>
      <w:pPr>
        <w:spacing w:line="360" w:lineRule="auto"/>
        <w:rPr>
          <w:rFonts w:ascii="仿宋_GB2312" w:hAnsi="宋体" w:eastAsia="仿宋_GB2312"/>
          <w:b/>
          <w:bCs/>
          <w:color w:val="auto"/>
          <w:sz w:val="28"/>
          <w:szCs w:val="28"/>
          <w:highlight w:val="none"/>
        </w:rPr>
      </w:pPr>
      <w:r>
        <w:rPr>
          <w:rFonts w:ascii="仿宋_GB2312" w:hAnsi="宋体" w:eastAsia="仿宋_GB2312"/>
          <w:b/>
          <w:bCs/>
          <w:color w:val="auto"/>
          <w:sz w:val="28"/>
          <w:szCs w:val="28"/>
          <w:highlight w:val="none"/>
        </w:rPr>
        <w:t>十四、其它：</w:t>
      </w:r>
      <w:r>
        <w:rPr>
          <w:rFonts w:ascii="仿宋_GB2312" w:hAnsi="宋体" w:eastAsia="仿宋_GB2312"/>
          <w:b/>
          <w:bCs/>
          <w:color w:val="auto"/>
          <w:sz w:val="28"/>
          <w:szCs w:val="28"/>
          <w:highlight w:val="none"/>
        </w:rPr>
        <w:tab/>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1、如乙方出现因拖欠农民工工资引发不良后果的，甲方有权从工程款中扣除所欠农民工工资金额两倍或两倍以上罚金。</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2、乙方应为本合同工程投保工程一切险和第三者责任险以及乙方的雇员及装备保险，乙方若不投保，施工期间所发生的一切与本工程有关的人员、工程、财产等意外伤害、损失，由乙方承担全部责任和费用。</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3、乙方在施工过程中故意刁难甲方或因其他原因给甲方造成的损失，应全额赔偿甲方的损失及支付合同价款20%的违约金，甲方有权解除合同并另行选择施工单位。</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4、甲方对施工方案及其他技术文件审核和认可不免除乙方应承担的责任。</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5、本工程竣工结算审计费用由乙方全额支付。乙方必须服从并配合甲方上级公司的复审，并由乙方全额支付结算复审产生的审计费用。</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用于本项目的材料、设备需与设计方案及施工图基本保持一致，完工效果应与设计效果图基本保持一致，主材选型及品牌需经甲方确认后方可用于施工，否则甲方有权要求乙方进行整改，所发生全部费用由乙方承担，且甲方有向乙方追加罚款的权利。</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7、因现场施工条件限制、方案调整等原因需乙方进行深化设计的，相关费用综合考虑在报价中，结算时不再调整。</w:t>
      </w:r>
    </w:p>
    <w:p>
      <w:pPr>
        <w:spacing w:line="360" w:lineRule="auto"/>
        <w:ind w:firstLine="482"/>
        <w:rPr>
          <w:rFonts w:ascii="仿宋_GB2312" w:hAnsi="宋体" w:eastAsia="仿宋_GB2312"/>
          <w:color w:val="auto"/>
          <w:sz w:val="24"/>
          <w:szCs w:val="20"/>
          <w:highlight w:val="none"/>
        </w:rPr>
      </w:pPr>
      <w:r>
        <w:rPr>
          <w:rFonts w:ascii="仿宋_GB2312" w:hAnsi="宋体" w:eastAsia="仿宋_GB2312"/>
          <w:b/>
          <w:bCs/>
          <w:color w:val="auto"/>
          <w:sz w:val="24"/>
          <w:szCs w:val="20"/>
          <w:highlight w:val="none"/>
        </w:rPr>
        <w:t>十五、本合同发生过程中如发生争议，双方协商解决，协商不成时，提交工程所在地的法院裁决</w:t>
      </w:r>
      <w:r>
        <w:rPr>
          <w:rFonts w:ascii="仿宋_GB2312" w:hAnsi="宋体" w:eastAsia="仿宋_GB2312"/>
          <w:color w:val="auto"/>
          <w:sz w:val="24"/>
          <w:szCs w:val="20"/>
          <w:highlight w:val="none"/>
        </w:rPr>
        <w:t>。</w:t>
      </w:r>
    </w:p>
    <w:p>
      <w:pPr>
        <w:spacing w:line="360" w:lineRule="auto"/>
        <w:ind w:firstLine="482"/>
        <w:rPr>
          <w:rFonts w:ascii="仿宋_GB2312" w:hAnsi="宋体" w:eastAsia="仿宋_GB2312"/>
          <w:b/>
          <w:bCs/>
          <w:color w:val="auto"/>
          <w:sz w:val="24"/>
          <w:szCs w:val="20"/>
          <w:highlight w:val="none"/>
        </w:rPr>
      </w:pPr>
      <w:r>
        <w:rPr>
          <w:rFonts w:ascii="仿宋_GB2312" w:hAnsi="宋体" w:eastAsia="仿宋_GB2312"/>
          <w:b/>
          <w:bCs/>
          <w:color w:val="auto"/>
          <w:sz w:val="24"/>
          <w:szCs w:val="20"/>
          <w:highlight w:val="none"/>
        </w:rPr>
        <w:t>十六、本协议自合法签署之日起生效，一式八份，其中甲方六份，乙方二份，均具有同等的法律效力。</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附件：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1、双方确认的技术标准和要求；</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2、双方确认的工程量清单报价表；</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3、工程质量保修书；</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4、安全施工合同</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5、加盖乙方公章的企业法人营业执照副本及施工资质复印件</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p>
    <w:p>
      <w:pPr>
        <w:autoSpaceDE w:val="0"/>
        <w:autoSpaceDN w:val="0"/>
        <w:adjustRightInd w:val="0"/>
        <w:spacing w:line="360" w:lineRule="auto"/>
        <w:ind w:firstLine="600" w:firstLineChars="2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甲方（盖章）：                        乙方（盖章）：</w:t>
      </w:r>
    </w:p>
    <w:p>
      <w:pPr>
        <w:autoSpaceDE w:val="0"/>
        <w:autoSpaceDN w:val="0"/>
        <w:adjustRightInd w:val="0"/>
        <w:spacing w:line="360" w:lineRule="auto"/>
        <w:ind w:firstLine="720" w:firstLineChars="3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法定代表人：                         法定代表人：</w:t>
      </w:r>
    </w:p>
    <w:p>
      <w:pPr>
        <w:autoSpaceDE w:val="0"/>
        <w:autoSpaceDN w:val="0"/>
        <w:adjustRightInd w:val="0"/>
        <w:spacing w:line="360" w:lineRule="auto"/>
        <w:ind w:firstLine="960" w:firstLineChars="4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授权代表：                           授权代表：</w:t>
      </w:r>
    </w:p>
    <w:p>
      <w:pPr>
        <w:autoSpaceDE w:val="0"/>
        <w:autoSpaceDN w:val="0"/>
        <w:adjustRightInd w:val="0"/>
        <w:spacing w:line="360" w:lineRule="auto"/>
        <w:ind w:firstLine="600" w:firstLineChars="250"/>
        <w:jc w:val="left"/>
        <w:rPr>
          <w:rFonts w:ascii="仿宋_GB2312" w:hAnsi="宋体" w:eastAsia="仿宋_GB2312"/>
          <w:color w:val="auto"/>
          <w:sz w:val="24"/>
          <w:szCs w:val="20"/>
          <w:highlight w:val="none"/>
        </w:rPr>
      </w:pPr>
    </w:p>
    <w:p>
      <w:pPr>
        <w:autoSpaceDE w:val="0"/>
        <w:autoSpaceDN w:val="0"/>
        <w:adjustRightInd w:val="0"/>
        <w:spacing w:line="360" w:lineRule="auto"/>
        <w:ind w:firstLine="600" w:firstLineChars="2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 xml:space="preserve"> 2023年   月  日                     2023年   月   日</w:t>
      </w:r>
    </w:p>
    <w:p>
      <w:pPr>
        <w:autoSpaceDE w:val="0"/>
        <w:autoSpaceDN w:val="0"/>
        <w:adjustRightInd w:val="0"/>
        <w:spacing w:line="360" w:lineRule="auto"/>
        <w:ind w:firstLine="600" w:firstLineChars="250"/>
        <w:jc w:val="left"/>
        <w:rPr>
          <w:rFonts w:ascii="仿宋_GB2312" w:hAnsi="宋体" w:eastAsia="仿宋_GB2312"/>
          <w:color w:val="auto"/>
          <w:sz w:val="24"/>
          <w:szCs w:val="20"/>
          <w:highlight w:val="none"/>
        </w:rPr>
      </w:pPr>
    </w:p>
    <w:p>
      <w:pPr>
        <w:spacing w:line="400" w:lineRule="exact"/>
        <w:jc w:val="left"/>
        <w:rPr>
          <w:rFonts w:ascii="仿宋_GB2312" w:hAnsi="宋体" w:eastAsia="仿宋_GB2312"/>
          <w:color w:val="auto"/>
          <w:sz w:val="28"/>
          <w:szCs w:val="28"/>
          <w:highlight w:val="none"/>
        </w:rPr>
      </w:pPr>
      <w:r>
        <w:rPr>
          <w:rFonts w:ascii="仿宋_GB2312" w:hAnsi="宋体" w:eastAsia="仿宋_GB2312"/>
          <w:color w:val="auto"/>
          <w:sz w:val="28"/>
          <w:szCs w:val="28"/>
          <w:highlight w:val="none"/>
        </w:rPr>
        <w:t>附件1</w:t>
      </w:r>
    </w:p>
    <w:p>
      <w:pPr>
        <w:spacing w:line="360" w:lineRule="auto"/>
        <w:jc w:val="center"/>
        <w:rPr>
          <w:rFonts w:ascii="仿宋" w:hAnsi="仿宋" w:eastAsia="仿宋"/>
          <w:b/>
          <w:color w:val="auto"/>
          <w:sz w:val="36"/>
          <w:szCs w:val="36"/>
          <w:highlight w:val="none"/>
        </w:rPr>
      </w:pPr>
      <w:r>
        <w:rPr>
          <w:rFonts w:ascii="仿宋" w:hAnsi="仿宋" w:eastAsia="仿宋"/>
          <w:b/>
          <w:color w:val="auto"/>
          <w:sz w:val="36"/>
          <w:szCs w:val="36"/>
          <w:highlight w:val="none"/>
        </w:rPr>
        <w:t>工程质量保修书</w:t>
      </w:r>
    </w:p>
    <w:p>
      <w:pPr>
        <w:rPr>
          <w:color w:val="auto"/>
          <w:highlight w:val="none"/>
        </w:rPr>
      </w:pPr>
    </w:p>
    <w:p>
      <w:pPr>
        <w:spacing w:line="360" w:lineRule="auto"/>
        <w:rPr>
          <w:rFonts w:ascii="仿宋" w:hAnsi="仿宋" w:eastAsia="仿宋"/>
          <w:b/>
          <w:color w:val="auto"/>
          <w:sz w:val="24"/>
          <w:highlight w:val="none"/>
        </w:rPr>
      </w:pPr>
      <w:r>
        <w:rPr>
          <w:rFonts w:ascii="仿宋" w:hAnsi="仿宋" w:eastAsia="仿宋"/>
          <w:b/>
          <w:color w:val="auto"/>
          <w:sz w:val="24"/>
          <w:highlight w:val="none"/>
        </w:rPr>
        <w:t>甲方：</w:t>
      </w:r>
    </w:p>
    <w:p>
      <w:pPr>
        <w:spacing w:line="360" w:lineRule="auto"/>
        <w:rPr>
          <w:rFonts w:ascii="仿宋" w:hAnsi="仿宋" w:eastAsia="仿宋"/>
          <w:b/>
          <w:color w:val="auto"/>
          <w:sz w:val="24"/>
          <w:highlight w:val="none"/>
        </w:rPr>
      </w:pPr>
      <w:r>
        <w:rPr>
          <w:rFonts w:ascii="仿宋" w:hAnsi="仿宋" w:eastAsia="仿宋"/>
          <w:b/>
          <w:color w:val="auto"/>
          <w:sz w:val="24"/>
          <w:highlight w:val="none"/>
        </w:rPr>
        <w:t>乙方：</w:t>
      </w:r>
    </w:p>
    <w:p>
      <w:pPr>
        <w:tabs>
          <w:tab w:val="left" w:pos="2835"/>
        </w:tabs>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为保证（以下简称“本工程”）在合理使用期限内的正常使用，经甲、乙双方协商一致并签订本工程质量保修书。乙方在质量保修期内按照《中华人民共和国建筑法》、《建设工程质量管理条例》、《房屋建筑工程质量保修办法》和国家、</w:t>
      </w:r>
      <w:r>
        <w:rPr>
          <w:rFonts w:ascii="仿宋" w:hAnsi="仿宋" w:eastAsia="仿宋"/>
          <w:color w:val="auto"/>
          <w:sz w:val="24"/>
          <w:highlight w:val="none"/>
          <w:u w:val="single"/>
        </w:rPr>
        <w:t>泰安市</w:t>
      </w:r>
      <w:r>
        <w:rPr>
          <w:rFonts w:ascii="仿宋" w:hAnsi="仿宋" w:eastAsia="仿宋"/>
          <w:color w:val="auto"/>
          <w:sz w:val="24"/>
          <w:highlight w:val="none"/>
        </w:rPr>
        <w:t>有关管理规定以及双方签订的“”（以下简称“工程合同”）及其补充协议中的约定承担工程质量保修责任。</w:t>
      </w:r>
    </w:p>
    <w:p>
      <w:pPr>
        <w:numPr>
          <w:ilvl w:val="4"/>
          <w:numId w:val="5"/>
        </w:numPr>
        <w:spacing w:line="360" w:lineRule="auto"/>
        <w:ind w:left="426" w:hanging="426"/>
        <w:rPr>
          <w:rFonts w:ascii="仿宋" w:hAnsi="仿宋" w:eastAsia="仿宋"/>
          <w:b/>
          <w:color w:val="auto"/>
          <w:sz w:val="24"/>
          <w:highlight w:val="none"/>
        </w:rPr>
      </w:pPr>
      <w:r>
        <w:rPr>
          <w:rFonts w:ascii="仿宋" w:hAnsi="仿宋" w:eastAsia="仿宋"/>
          <w:b/>
          <w:color w:val="auto"/>
          <w:sz w:val="24"/>
          <w:highlight w:val="none"/>
        </w:rPr>
        <w:t>工程质量保修范围和内容</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本工程质量保修范围包括但不限于工程合同中约定的，以及虽未列明但工程合同中约定的乙方承包范围内的其他工程。乙方应负责组织及时完成保修工作。</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具体质量保修内容双方约定如下：</w:t>
      </w:r>
    </w:p>
    <w:p>
      <w:pPr>
        <w:numPr>
          <w:ilvl w:val="0"/>
          <w:numId w:val="6"/>
        </w:numPr>
        <w:spacing w:line="360" w:lineRule="auto"/>
        <w:rPr>
          <w:rFonts w:ascii="仿宋" w:hAnsi="仿宋" w:eastAsia="仿宋"/>
          <w:color w:val="auto"/>
          <w:sz w:val="24"/>
          <w:highlight w:val="none"/>
        </w:rPr>
      </w:pPr>
      <w:r>
        <w:rPr>
          <w:rFonts w:ascii="仿宋" w:hAnsi="仿宋" w:eastAsia="仿宋"/>
          <w:color w:val="auto"/>
          <w:sz w:val="24"/>
          <w:highlight w:val="none"/>
        </w:rPr>
        <w:t>设备、材料、构配件质量问题。</w:t>
      </w:r>
    </w:p>
    <w:p>
      <w:pPr>
        <w:numPr>
          <w:ilvl w:val="0"/>
          <w:numId w:val="6"/>
        </w:numPr>
        <w:spacing w:line="360" w:lineRule="auto"/>
        <w:rPr>
          <w:rFonts w:ascii="仿宋" w:hAnsi="仿宋" w:eastAsia="仿宋"/>
          <w:color w:val="auto"/>
          <w:sz w:val="24"/>
          <w:highlight w:val="none"/>
        </w:rPr>
      </w:pPr>
      <w:r>
        <w:rPr>
          <w:rFonts w:ascii="仿宋" w:hAnsi="仿宋" w:eastAsia="仿宋"/>
          <w:color w:val="auto"/>
          <w:sz w:val="24"/>
          <w:highlight w:val="none"/>
        </w:rPr>
        <w:t>施工、安装质量问题。</w:t>
      </w:r>
    </w:p>
    <w:p>
      <w:pPr>
        <w:numPr>
          <w:ilvl w:val="0"/>
          <w:numId w:val="6"/>
        </w:numPr>
        <w:spacing w:line="360" w:lineRule="auto"/>
        <w:rPr>
          <w:rFonts w:ascii="仿宋" w:hAnsi="仿宋" w:eastAsia="仿宋"/>
          <w:color w:val="auto"/>
          <w:sz w:val="24"/>
          <w:highlight w:val="none"/>
        </w:rPr>
      </w:pPr>
      <w:r>
        <w:rPr>
          <w:rFonts w:ascii="仿宋" w:hAnsi="仿宋" w:eastAsia="仿宋"/>
          <w:color w:val="auto"/>
          <w:sz w:val="24"/>
          <w:highlight w:val="none"/>
        </w:rPr>
        <w:t>因乙方责任造成的其他问题。</w:t>
      </w:r>
    </w:p>
    <w:p>
      <w:pPr>
        <w:spacing w:line="360" w:lineRule="auto"/>
        <w:ind w:left="420"/>
        <w:rPr>
          <w:rFonts w:ascii="仿宋" w:hAnsi="仿宋" w:eastAsia="仿宋"/>
          <w:color w:val="auto"/>
          <w:sz w:val="24"/>
          <w:highlight w:val="none"/>
        </w:rPr>
      </w:pPr>
      <w:r>
        <w:rPr>
          <w:rFonts w:ascii="仿宋" w:hAnsi="仿宋" w:eastAsia="仿宋"/>
          <w:color w:val="auto"/>
          <w:sz w:val="24"/>
          <w:highlight w:val="none"/>
        </w:rPr>
        <w:t>对于上述内容按照国家法律、法规、规范及合同约定承担质量保修责任。</w:t>
      </w:r>
    </w:p>
    <w:p>
      <w:pPr>
        <w:numPr>
          <w:ilvl w:val="4"/>
          <w:numId w:val="5"/>
        </w:numPr>
        <w:spacing w:line="360" w:lineRule="auto"/>
        <w:ind w:left="426" w:hanging="426"/>
        <w:rPr>
          <w:rFonts w:ascii="仿宋" w:hAnsi="仿宋" w:eastAsia="仿宋"/>
          <w:b/>
          <w:color w:val="auto"/>
          <w:sz w:val="24"/>
          <w:highlight w:val="none"/>
        </w:rPr>
      </w:pPr>
      <w:r>
        <w:rPr>
          <w:rFonts w:ascii="仿宋" w:hAnsi="仿宋" w:eastAsia="仿宋"/>
          <w:b/>
          <w:color w:val="auto"/>
          <w:sz w:val="24"/>
          <w:highlight w:val="none"/>
        </w:rPr>
        <w:t>质量保修期</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本工程质量保修期自工程竣工且经甲乙双方验收合格之日起计，本合同工程质量保修年限为</w:t>
      </w:r>
      <w:r>
        <w:rPr>
          <w:rFonts w:ascii="仿宋" w:hAnsi="仿宋" w:eastAsia="仿宋"/>
          <w:color w:val="auto"/>
          <w:sz w:val="24"/>
          <w:highlight w:val="none"/>
          <w:u w:val="single"/>
        </w:rPr>
        <w:t xml:space="preserve"> 2 </w:t>
      </w:r>
      <w:r>
        <w:rPr>
          <w:rFonts w:ascii="仿宋" w:hAnsi="仿宋" w:eastAsia="仿宋"/>
          <w:color w:val="auto"/>
          <w:sz w:val="24"/>
          <w:highlight w:val="none"/>
        </w:rPr>
        <w:t>年，其他涉及工程双方根据《建设工程质量管理条例》及国家有关规定，各分部工程对应专业工程保修期年限根据各分部工程对应的以下内容进行质量保修期的约定，合同双方当事人约定如下：</w:t>
      </w:r>
    </w:p>
    <w:p>
      <w:pPr>
        <w:numPr>
          <w:ilvl w:val="0"/>
          <w:numId w:val="7"/>
        </w:numPr>
        <w:adjustRightInd w:val="0"/>
        <w:snapToGrid w:val="0"/>
        <w:spacing w:line="360" w:lineRule="auto"/>
        <w:rPr>
          <w:rFonts w:ascii="仿宋" w:hAnsi="仿宋" w:eastAsia="仿宋"/>
          <w:color w:val="auto"/>
          <w:sz w:val="24"/>
          <w:highlight w:val="none"/>
        </w:rPr>
      </w:pPr>
      <w:r>
        <w:rPr>
          <w:rFonts w:ascii="仿宋" w:hAnsi="仿宋" w:eastAsia="仿宋"/>
          <w:color w:val="auto"/>
          <w:sz w:val="24"/>
          <w:highlight w:val="none"/>
        </w:rPr>
        <w:t>主体结构工程为设计文件规定的合理使用年限；</w:t>
      </w:r>
    </w:p>
    <w:p>
      <w:pPr>
        <w:numPr>
          <w:ilvl w:val="0"/>
          <w:numId w:val="7"/>
        </w:numPr>
        <w:adjustRightInd w:val="0"/>
        <w:snapToGrid w:val="0"/>
        <w:spacing w:line="360" w:lineRule="auto"/>
        <w:rPr>
          <w:rFonts w:ascii="仿宋" w:hAnsi="仿宋" w:eastAsia="仿宋"/>
          <w:color w:val="auto"/>
          <w:sz w:val="24"/>
          <w:highlight w:val="none"/>
        </w:rPr>
      </w:pPr>
      <w:r>
        <w:rPr>
          <w:rFonts w:ascii="仿宋" w:hAnsi="仿宋" w:eastAsia="仿宋"/>
          <w:color w:val="auto"/>
          <w:sz w:val="24"/>
          <w:highlight w:val="none"/>
        </w:rPr>
        <w:t>采暖、供冷系统工程为</w:t>
      </w:r>
      <w:r>
        <w:rPr>
          <w:rFonts w:ascii="仿宋" w:hAnsi="仿宋" w:eastAsia="仿宋"/>
          <w:color w:val="auto"/>
          <w:sz w:val="24"/>
          <w:highlight w:val="none"/>
          <w:u w:val="single"/>
        </w:rPr>
        <w:t xml:space="preserve">  5  </w:t>
      </w:r>
      <w:r>
        <w:rPr>
          <w:rFonts w:ascii="仿宋" w:hAnsi="仿宋" w:eastAsia="仿宋"/>
          <w:color w:val="auto"/>
          <w:sz w:val="24"/>
          <w:highlight w:val="none"/>
        </w:rPr>
        <w:t>个采暖期、供冷期；</w:t>
      </w:r>
    </w:p>
    <w:p>
      <w:pPr>
        <w:numPr>
          <w:ilvl w:val="0"/>
          <w:numId w:val="7"/>
        </w:numPr>
        <w:adjustRightInd w:val="0"/>
        <w:snapToGrid w:val="0"/>
        <w:spacing w:line="360" w:lineRule="auto"/>
        <w:rPr>
          <w:rFonts w:ascii="仿宋" w:hAnsi="仿宋" w:eastAsia="仿宋"/>
          <w:color w:val="auto"/>
          <w:sz w:val="24"/>
          <w:highlight w:val="none"/>
        </w:rPr>
      </w:pPr>
      <w:r>
        <w:rPr>
          <w:rFonts w:ascii="仿宋" w:hAnsi="仿宋" w:eastAsia="仿宋"/>
          <w:color w:val="auto"/>
          <w:sz w:val="24"/>
          <w:highlight w:val="none"/>
        </w:rPr>
        <w:t>电气管线、给排水管道、设备安装工程和通风工程为</w:t>
      </w:r>
      <w:r>
        <w:rPr>
          <w:rFonts w:ascii="仿宋" w:hAnsi="仿宋" w:eastAsia="仿宋"/>
          <w:color w:val="auto"/>
          <w:sz w:val="24"/>
          <w:highlight w:val="none"/>
          <w:u w:val="single"/>
        </w:rPr>
        <w:t xml:space="preserve">  2  </w:t>
      </w:r>
      <w:r>
        <w:rPr>
          <w:rFonts w:ascii="仿宋" w:hAnsi="仿宋" w:eastAsia="仿宋"/>
          <w:color w:val="auto"/>
          <w:sz w:val="24"/>
          <w:highlight w:val="none"/>
        </w:rPr>
        <w:t>年；</w:t>
      </w:r>
    </w:p>
    <w:p>
      <w:pPr>
        <w:numPr>
          <w:ilvl w:val="0"/>
          <w:numId w:val="7"/>
        </w:numPr>
        <w:adjustRightInd w:val="0"/>
        <w:snapToGrid w:val="0"/>
        <w:spacing w:line="360" w:lineRule="auto"/>
        <w:rPr>
          <w:rFonts w:ascii="仿宋" w:hAnsi="仿宋" w:eastAsia="仿宋"/>
          <w:color w:val="auto"/>
          <w:sz w:val="24"/>
          <w:highlight w:val="none"/>
        </w:rPr>
      </w:pPr>
      <w:r>
        <w:rPr>
          <w:rFonts w:ascii="仿宋" w:hAnsi="仿宋" w:eastAsia="仿宋"/>
          <w:color w:val="auto"/>
          <w:sz w:val="24"/>
          <w:highlight w:val="none"/>
        </w:rPr>
        <w:t>装饰装修工程为</w:t>
      </w:r>
      <w:r>
        <w:rPr>
          <w:rFonts w:ascii="仿宋" w:hAnsi="仿宋" w:eastAsia="仿宋"/>
          <w:color w:val="auto"/>
          <w:sz w:val="24"/>
          <w:highlight w:val="none"/>
          <w:u w:val="single"/>
        </w:rPr>
        <w:t xml:space="preserve">  2  </w:t>
      </w:r>
      <w:r>
        <w:rPr>
          <w:rFonts w:ascii="仿宋" w:hAnsi="仿宋" w:eastAsia="仿宋"/>
          <w:color w:val="auto"/>
          <w:sz w:val="24"/>
          <w:highlight w:val="none"/>
        </w:rPr>
        <w:t>年；</w:t>
      </w:r>
    </w:p>
    <w:p>
      <w:pPr>
        <w:numPr>
          <w:ilvl w:val="0"/>
          <w:numId w:val="7"/>
        </w:numPr>
        <w:adjustRightInd w:val="0"/>
        <w:snapToGrid w:val="0"/>
        <w:spacing w:line="360" w:lineRule="auto"/>
        <w:rPr>
          <w:rFonts w:ascii="仿宋" w:hAnsi="仿宋" w:eastAsia="仿宋"/>
          <w:color w:val="auto"/>
          <w:sz w:val="24"/>
          <w:highlight w:val="none"/>
        </w:rPr>
      </w:pPr>
      <w:r>
        <w:rPr>
          <w:rFonts w:ascii="仿宋" w:hAnsi="仿宋" w:eastAsia="仿宋"/>
          <w:color w:val="auto"/>
          <w:sz w:val="24"/>
          <w:highlight w:val="none"/>
        </w:rPr>
        <w:t>其他项目的保修期为</w:t>
      </w:r>
      <w:r>
        <w:rPr>
          <w:rFonts w:ascii="仿宋" w:hAnsi="仿宋" w:eastAsia="仿宋"/>
          <w:color w:val="auto"/>
          <w:sz w:val="24"/>
          <w:highlight w:val="none"/>
          <w:u w:val="single"/>
        </w:rPr>
        <w:t xml:space="preserve">  2  </w:t>
      </w:r>
      <w:r>
        <w:rPr>
          <w:rFonts w:ascii="仿宋" w:hAnsi="仿宋" w:eastAsia="仿宋"/>
          <w:color w:val="auto"/>
          <w:sz w:val="24"/>
          <w:highlight w:val="none"/>
        </w:rPr>
        <w:t>年。</w:t>
      </w:r>
    </w:p>
    <w:p>
      <w:pPr>
        <w:numPr>
          <w:ilvl w:val="4"/>
          <w:numId w:val="5"/>
        </w:numPr>
        <w:spacing w:line="360" w:lineRule="auto"/>
        <w:ind w:left="426" w:hanging="426"/>
        <w:rPr>
          <w:rFonts w:ascii="仿宋" w:hAnsi="仿宋" w:eastAsia="仿宋"/>
          <w:b/>
          <w:color w:val="auto"/>
          <w:sz w:val="24"/>
          <w:highlight w:val="none"/>
        </w:rPr>
      </w:pPr>
      <w:r>
        <w:rPr>
          <w:rFonts w:ascii="仿宋" w:hAnsi="仿宋" w:eastAsia="仿宋"/>
          <w:b/>
          <w:color w:val="auto"/>
          <w:sz w:val="24"/>
          <w:highlight w:val="none"/>
        </w:rPr>
        <w:t>质量保修责任</w:t>
      </w:r>
    </w:p>
    <w:p>
      <w:pPr>
        <w:numPr>
          <w:ilvl w:val="0"/>
          <w:numId w:val="8"/>
        </w:numPr>
        <w:spacing w:line="360" w:lineRule="auto"/>
        <w:ind w:left="0" w:firstLine="465"/>
        <w:rPr>
          <w:rFonts w:ascii="仿宋" w:hAnsi="仿宋" w:eastAsia="仿宋"/>
          <w:color w:val="auto"/>
          <w:sz w:val="24"/>
          <w:highlight w:val="none"/>
        </w:rPr>
      </w:pPr>
      <w:r>
        <w:rPr>
          <w:rFonts w:ascii="仿宋" w:hAnsi="仿宋" w:eastAsia="仿宋"/>
          <w:color w:val="auto"/>
          <w:sz w:val="24"/>
          <w:highlight w:val="none"/>
        </w:rPr>
        <w:t>本工程在保修期内出现质量缺陷，甲方、物业公司或者甲方授权的其他管理单位应当向乙方发出保修通知。乙方接到保修通知后24小时内，应当到现场核查情况并派人修理。乙方不在约定期限内派人修理，甲方、物业公司或者甲方授权的其他管理单位可委托其他人员修理，修理费用从质量保证金中扣除，同时书面通知乙方。</w:t>
      </w:r>
    </w:p>
    <w:p>
      <w:pPr>
        <w:numPr>
          <w:ilvl w:val="0"/>
          <w:numId w:val="8"/>
        </w:numPr>
        <w:spacing w:line="360" w:lineRule="auto"/>
        <w:ind w:left="0" w:firstLine="465"/>
        <w:rPr>
          <w:rFonts w:ascii="仿宋" w:hAnsi="仿宋" w:eastAsia="仿宋"/>
          <w:color w:val="auto"/>
          <w:sz w:val="24"/>
          <w:highlight w:val="none"/>
        </w:rPr>
      </w:pPr>
      <w:r>
        <w:rPr>
          <w:rFonts w:ascii="仿宋" w:hAnsi="仿宋" w:eastAsia="仿宋"/>
          <w:color w:val="auto"/>
          <w:sz w:val="24"/>
          <w:highlight w:val="none"/>
        </w:rPr>
        <w:t>发生须紧急抢修事故（如上水跑水、暖气漏水等），乙方接到事故通知后，应立即到达事故现场抢修。由乙方原因引起的事故，抢修费用由乙方承担。非乙方原因引起的事故，抢修费用由事故责任人承担。</w:t>
      </w:r>
    </w:p>
    <w:p>
      <w:pPr>
        <w:numPr>
          <w:ilvl w:val="0"/>
          <w:numId w:val="8"/>
        </w:numPr>
        <w:spacing w:line="360" w:lineRule="auto"/>
        <w:ind w:left="0" w:firstLine="465"/>
        <w:rPr>
          <w:rFonts w:ascii="仿宋" w:hAnsi="仿宋" w:eastAsia="仿宋"/>
          <w:color w:val="auto"/>
          <w:sz w:val="24"/>
          <w:highlight w:val="none"/>
        </w:rPr>
      </w:pPr>
      <w:r>
        <w:rPr>
          <w:rFonts w:ascii="仿宋" w:hAnsi="仿宋" w:eastAsia="仿宋"/>
          <w:color w:val="auto"/>
          <w:sz w:val="24"/>
          <w:highlight w:val="none"/>
        </w:rPr>
        <w:t>在国家规定的工程合理使用期限内，乙方确保主体结构的质量，因乙方原因致使工程在合理使用期限内造成人身和财产损害的，乙方应承担损害赔偿责任。对于涉及结构安全的质量问题，乙方应当按照《房屋建筑工程质量保修办法》的规定，立即向当地建设行政主管部门报告，采取安全防范措施，由原设计单位或具有相应资质等级的设计单位提出处理方案，乙方实施保修。因乙方责任致使工程在合理使用期限内造成人身和财产损害的，乙方应承担损害赔偿责任，非乙方责任造成的损坏，修理费用由甲方在此保修工作完成后15日内向乙方支付。</w:t>
      </w:r>
    </w:p>
    <w:p>
      <w:pPr>
        <w:numPr>
          <w:ilvl w:val="0"/>
          <w:numId w:val="8"/>
        </w:numPr>
        <w:spacing w:line="360" w:lineRule="auto"/>
        <w:ind w:left="0" w:firstLine="465"/>
        <w:rPr>
          <w:rFonts w:ascii="仿宋" w:hAnsi="仿宋" w:eastAsia="仿宋"/>
          <w:color w:val="auto"/>
          <w:sz w:val="24"/>
          <w:highlight w:val="none"/>
        </w:rPr>
      </w:pPr>
      <w:r>
        <w:rPr>
          <w:rFonts w:ascii="仿宋" w:hAnsi="仿宋" w:eastAsia="仿宋"/>
          <w:color w:val="auto"/>
          <w:sz w:val="24"/>
          <w:highlight w:val="none"/>
        </w:rPr>
        <w:t>如乙方不能按照本保修书约定履行保修义务，则甲方有权利自行确定其他有资质的单位承担保修工作，由此发生的费用由乙方承担。甲方有权从质量保证金中扣除相应金额支付给保修工作的承担单位。</w:t>
      </w:r>
    </w:p>
    <w:p>
      <w:pPr>
        <w:numPr>
          <w:ilvl w:val="4"/>
          <w:numId w:val="5"/>
        </w:numPr>
        <w:spacing w:line="360" w:lineRule="auto"/>
        <w:ind w:left="426" w:hanging="426"/>
        <w:rPr>
          <w:rFonts w:ascii="仿宋" w:hAnsi="仿宋" w:eastAsia="仿宋"/>
          <w:b/>
          <w:color w:val="auto"/>
          <w:sz w:val="24"/>
          <w:highlight w:val="none"/>
        </w:rPr>
      </w:pPr>
      <w:r>
        <w:rPr>
          <w:rFonts w:ascii="仿宋" w:hAnsi="仿宋" w:eastAsia="仿宋"/>
          <w:b/>
          <w:color w:val="auto"/>
          <w:sz w:val="24"/>
          <w:highlight w:val="none"/>
        </w:rPr>
        <w:t>质量保证金的留取</w:t>
      </w:r>
    </w:p>
    <w:p>
      <w:pPr>
        <w:tabs>
          <w:tab w:val="left" w:pos="0"/>
        </w:tabs>
        <w:spacing w:line="360" w:lineRule="auto"/>
        <w:ind w:left="422" w:leftChars="201" w:firstLine="120" w:firstLineChars="50"/>
        <w:rPr>
          <w:rFonts w:ascii="仿宋" w:hAnsi="仿宋" w:eastAsia="仿宋"/>
          <w:color w:val="auto"/>
          <w:sz w:val="24"/>
          <w:highlight w:val="none"/>
        </w:rPr>
      </w:pPr>
      <w:r>
        <w:rPr>
          <w:rFonts w:ascii="仿宋" w:hAnsi="仿宋" w:eastAsia="仿宋"/>
          <w:color w:val="auto"/>
          <w:sz w:val="24"/>
          <w:highlight w:val="none"/>
        </w:rPr>
        <w:t>本工程双方约定的工程质量保证金为工程合同结算价款的5%。</w:t>
      </w:r>
    </w:p>
    <w:p>
      <w:pPr>
        <w:tabs>
          <w:tab w:val="left" w:pos="0"/>
        </w:tabs>
        <w:spacing w:line="360" w:lineRule="auto"/>
        <w:ind w:left="422" w:leftChars="201" w:firstLine="120" w:firstLineChars="50"/>
        <w:rPr>
          <w:rFonts w:ascii="仿宋" w:hAnsi="仿宋" w:eastAsia="仿宋"/>
          <w:color w:val="auto"/>
          <w:sz w:val="24"/>
          <w:highlight w:val="none"/>
        </w:rPr>
      </w:pPr>
      <w:r>
        <w:rPr>
          <w:rFonts w:ascii="仿宋" w:hAnsi="仿宋" w:eastAsia="仿宋"/>
          <w:color w:val="auto"/>
          <w:sz w:val="24"/>
          <w:highlight w:val="none"/>
        </w:rPr>
        <w:t>由甲方在工程施工合同中直接留取合同结算价款的5%作为质量保证金。</w:t>
      </w:r>
    </w:p>
    <w:p>
      <w:pPr>
        <w:numPr>
          <w:ilvl w:val="4"/>
          <w:numId w:val="5"/>
        </w:numPr>
        <w:spacing w:line="360" w:lineRule="auto"/>
        <w:ind w:left="426" w:hanging="426"/>
        <w:rPr>
          <w:rFonts w:ascii="仿宋" w:hAnsi="仿宋" w:eastAsia="仿宋"/>
          <w:b/>
          <w:color w:val="auto"/>
          <w:sz w:val="24"/>
          <w:highlight w:val="none"/>
        </w:rPr>
      </w:pPr>
      <w:r>
        <w:rPr>
          <w:rFonts w:ascii="仿宋" w:hAnsi="仿宋" w:eastAsia="仿宋"/>
          <w:b/>
          <w:color w:val="auto"/>
          <w:sz w:val="24"/>
          <w:highlight w:val="none"/>
        </w:rPr>
        <w:t>质量保证金的返还</w:t>
      </w:r>
    </w:p>
    <w:p>
      <w:pPr>
        <w:spacing w:line="360" w:lineRule="auto"/>
        <w:ind w:firstLine="484" w:firstLineChars="202"/>
        <w:rPr>
          <w:rFonts w:ascii="仿宋" w:hAnsi="仿宋" w:eastAsia="仿宋"/>
          <w:color w:val="auto"/>
          <w:sz w:val="24"/>
          <w:highlight w:val="none"/>
        </w:rPr>
      </w:pPr>
      <w:r>
        <w:rPr>
          <w:rFonts w:ascii="仿宋" w:hAnsi="仿宋" w:eastAsia="仿宋"/>
          <w:color w:val="auto"/>
          <w:sz w:val="24"/>
          <w:highlight w:val="none"/>
        </w:rPr>
        <w:t>自本工程竣工并经甲乙双方验收合格之日起满</w:t>
      </w:r>
      <w:r>
        <w:rPr>
          <w:rFonts w:ascii="仿宋" w:hAnsi="仿宋" w:eastAsia="仿宋"/>
          <w:color w:val="auto"/>
          <w:sz w:val="24"/>
          <w:highlight w:val="none"/>
          <w:u w:val="single"/>
        </w:rPr>
        <w:t xml:space="preserve"> 2 </w:t>
      </w:r>
      <w:r>
        <w:rPr>
          <w:rFonts w:ascii="仿宋" w:hAnsi="仿宋" w:eastAsia="仿宋"/>
          <w:color w:val="auto"/>
          <w:sz w:val="24"/>
          <w:highlight w:val="none"/>
        </w:rPr>
        <w:t>年内，如乙方履行了本保修书约定的相应义务，则本质量保证金无息返还。该工程项目验收合格后两年内若出现任何质量问题，乙方负全部维修责任。若乙方未能履行保修责任，甲方或甲方委托的物业管理公司有权聘请第三方维修，所发生的费用在当期质量保证金中直接扣除，不足部分概由乙方支付。</w:t>
      </w:r>
    </w:p>
    <w:p>
      <w:pPr>
        <w:spacing w:line="360" w:lineRule="auto"/>
        <w:ind w:firstLine="484" w:firstLineChars="202"/>
        <w:rPr>
          <w:rFonts w:ascii="仿宋" w:hAnsi="仿宋" w:eastAsia="仿宋"/>
          <w:color w:val="auto"/>
          <w:sz w:val="24"/>
          <w:highlight w:val="none"/>
        </w:rPr>
      </w:pPr>
      <w:r>
        <w:rPr>
          <w:rFonts w:ascii="仿宋" w:hAnsi="仿宋" w:eastAsia="仿宋"/>
          <w:color w:val="auto"/>
          <w:sz w:val="24"/>
          <w:highlight w:val="none"/>
        </w:rPr>
        <w:t>工程质量保修期内即使工程质量保证金部分或全部返还乙方，乙方的保修责任并不因此减轻或免除。</w:t>
      </w:r>
    </w:p>
    <w:p>
      <w:pPr>
        <w:numPr>
          <w:ilvl w:val="4"/>
          <w:numId w:val="5"/>
        </w:numPr>
        <w:spacing w:line="360" w:lineRule="auto"/>
        <w:ind w:left="426" w:hanging="426"/>
        <w:rPr>
          <w:rFonts w:ascii="仿宋" w:hAnsi="仿宋" w:eastAsia="仿宋"/>
          <w:b/>
          <w:color w:val="auto"/>
          <w:sz w:val="24"/>
          <w:highlight w:val="none"/>
        </w:rPr>
      </w:pPr>
      <w:r>
        <w:rPr>
          <w:rFonts w:ascii="仿宋" w:hAnsi="仿宋" w:eastAsia="仿宋"/>
          <w:b/>
          <w:color w:val="auto"/>
          <w:sz w:val="24"/>
          <w:highlight w:val="none"/>
        </w:rPr>
        <w:t>其他</w:t>
      </w:r>
    </w:p>
    <w:p>
      <w:pPr>
        <w:spacing w:line="360" w:lineRule="auto"/>
        <w:ind w:firstLine="484" w:firstLineChars="202"/>
        <w:rPr>
          <w:rFonts w:ascii="仿宋" w:hAnsi="仿宋" w:eastAsia="仿宋"/>
          <w:color w:val="auto"/>
          <w:sz w:val="24"/>
          <w:highlight w:val="none"/>
        </w:rPr>
      </w:pPr>
      <w:r>
        <w:rPr>
          <w:rFonts w:ascii="仿宋" w:hAnsi="仿宋" w:eastAsia="仿宋"/>
          <w:color w:val="auto"/>
          <w:sz w:val="24"/>
          <w:highlight w:val="none"/>
        </w:rPr>
        <w:t>本质量保修书签订后，原工程施工合同中有关质量保修条款仍然有效，并成为本质量保修书的一部分。</w:t>
      </w:r>
    </w:p>
    <w:p>
      <w:pPr>
        <w:spacing w:line="360" w:lineRule="auto"/>
        <w:ind w:firstLine="484" w:firstLineChars="202"/>
        <w:rPr>
          <w:rFonts w:ascii="仿宋" w:hAnsi="仿宋" w:eastAsia="仿宋"/>
          <w:color w:val="auto"/>
          <w:sz w:val="24"/>
          <w:highlight w:val="none"/>
        </w:rPr>
      </w:pPr>
      <w:r>
        <w:rPr>
          <w:rFonts w:ascii="仿宋" w:hAnsi="仿宋" w:eastAsia="仿宋"/>
          <w:color w:val="auto"/>
          <w:sz w:val="24"/>
          <w:highlight w:val="none"/>
        </w:rPr>
        <w:t>本质量保修书有效期限至甲乙双方履行完保修书约定的义务之日起失效。</w:t>
      </w:r>
    </w:p>
    <w:p>
      <w:pPr>
        <w:spacing w:line="360" w:lineRule="auto"/>
        <w:ind w:firstLine="484" w:firstLineChars="202"/>
        <w:rPr>
          <w:rFonts w:ascii="仿宋" w:hAnsi="仿宋" w:eastAsia="仿宋"/>
          <w:color w:val="auto"/>
          <w:sz w:val="24"/>
          <w:highlight w:val="none"/>
        </w:rPr>
      </w:pPr>
      <w:r>
        <w:rPr>
          <w:rFonts w:ascii="仿宋" w:hAnsi="仿宋" w:eastAsia="仿宋"/>
          <w:color w:val="auto"/>
          <w:sz w:val="24"/>
          <w:highlight w:val="none"/>
        </w:rPr>
        <w:t>本保修书一式肆份，甲乙双方各执贰份，同具法律效力。</w:t>
      </w:r>
    </w:p>
    <w:p>
      <w:pPr>
        <w:spacing w:line="360" w:lineRule="auto"/>
        <w:ind w:firstLine="484" w:firstLineChars="202"/>
        <w:rPr>
          <w:rFonts w:ascii="仿宋" w:hAnsi="仿宋" w:eastAsia="仿宋"/>
          <w:color w:val="auto"/>
          <w:sz w:val="24"/>
          <w:highlight w:val="none"/>
        </w:rPr>
      </w:pPr>
    </w:p>
    <w:p>
      <w:pPr>
        <w:spacing w:line="360" w:lineRule="auto"/>
        <w:jc w:val="center"/>
        <w:rPr>
          <w:rFonts w:ascii="仿宋" w:hAnsi="仿宋" w:eastAsia="仿宋"/>
          <w:color w:val="auto"/>
          <w:sz w:val="24"/>
          <w:highlight w:val="none"/>
        </w:rPr>
      </w:pPr>
    </w:p>
    <w:p>
      <w:pPr>
        <w:spacing w:line="360" w:lineRule="auto"/>
        <w:ind w:left="1560" w:hanging="1560" w:hangingChars="650"/>
        <w:rPr>
          <w:rFonts w:ascii="仿宋" w:hAnsi="仿宋" w:eastAsia="仿宋"/>
          <w:color w:val="auto"/>
          <w:sz w:val="24"/>
          <w:highlight w:val="none"/>
        </w:rPr>
      </w:pPr>
      <w:r>
        <w:rPr>
          <w:rFonts w:ascii="仿宋" w:hAnsi="仿宋" w:eastAsia="仿宋"/>
          <w:color w:val="auto"/>
          <w:sz w:val="24"/>
          <w:highlight w:val="none"/>
        </w:rPr>
        <w:t xml:space="preserve">甲方（公章）：                         乙方（公章）：                     </w:t>
      </w:r>
    </w:p>
    <w:p>
      <w:pPr>
        <w:spacing w:line="360" w:lineRule="auto"/>
        <w:rPr>
          <w:rFonts w:ascii="仿宋" w:hAnsi="仿宋" w:eastAsia="仿宋"/>
          <w:color w:val="auto"/>
          <w:sz w:val="24"/>
          <w:highlight w:val="none"/>
        </w:rPr>
      </w:pPr>
      <w:r>
        <w:rPr>
          <w:rFonts w:ascii="仿宋" w:hAnsi="仿宋" w:eastAsia="仿宋"/>
          <w:color w:val="auto"/>
          <w:sz w:val="24"/>
          <w:highlight w:val="none"/>
        </w:rPr>
        <w:t>法定代表人（签字）                    法定代表人（签字）</w:t>
      </w:r>
    </w:p>
    <w:p>
      <w:pPr>
        <w:spacing w:line="360" w:lineRule="auto"/>
        <w:rPr>
          <w:rFonts w:ascii="仿宋" w:hAnsi="仿宋" w:eastAsia="仿宋"/>
          <w:color w:val="auto"/>
          <w:sz w:val="24"/>
          <w:highlight w:val="none"/>
        </w:rPr>
      </w:pPr>
      <w:r>
        <w:rPr>
          <w:rFonts w:ascii="仿宋" w:hAnsi="仿宋" w:eastAsia="仿宋"/>
          <w:color w:val="auto"/>
          <w:sz w:val="24"/>
          <w:highlight w:val="none"/>
        </w:rPr>
        <w:t>或签约代表人（签字）：                 或签约代表人（签字）：</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年   月     日                       年    月    日</w:t>
      </w: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rPr>
          <w:color w:val="auto"/>
          <w:szCs w:val="20"/>
          <w:highlight w:val="none"/>
        </w:rPr>
      </w:pPr>
    </w:p>
    <w:p>
      <w:pPr>
        <w:widowControl/>
        <w:jc w:val="left"/>
        <w:rPr>
          <w:rFonts w:ascii="仿宋_GB2312" w:hAnsi="宋体" w:eastAsia="仿宋_GB2312"/>
          <w:color w:val="auto"/>
          <w:sz w:val="28"/>
          <w:szCs w:val="28"/>
          <w:highlight w:val="none"/>
        </w:rPr>
      </w:pPr>
      <w:r>
        <w:rPr>
          <w:rFonts w:ascii="仿宋_GB2312" w:hAnsi="宋体" w:eastAsia="仿宋_GB2312"/>
          <w:color w:val="auto"/>
          <w:sz w:val="28"/>
          <w:szCs w:val="28"/>
          <w:highlight w:val="none"/>
        </w:rPr>
        <w:br w:type="page"/>
      </w:r>
    </w:p>
    <w:p>
      <w:pPr>
        <w:spacing w:line="400" w:lineRule="exact"/>
        <w:jc w:val="left"/>
        <w:rPr>
          <w:rFonts w:ascii="仿宋_GB2312" w:hAnsi="宋体" w:eastAsia="仿宋_GB2312"/>
          <w:color w:val="auto"/>
          <w:sz w:val="28"/>
          <w:szCs w:val="28"/>
          <w:highlight w:val="none"/>
        </w:rPr>
      </w:pPr>
      <w:r>
        <w:rPr>
          <w:rFonts w:ascii="仿宋_GB2312" w:hAnsi="宋体" w:eastAsia="仿宋_GB2312"/>
          <w:color w:val="auto"/>
          <w:sz w:val="28"/>
          <w:szCs w:val="28"/>
          <w:highlight w:val="none"/>
        </w:rPr>
        <w:t>附件2</w:t>
      </w:r>
    </w:p>
    <w:p>
      <w:pPr>
        <w:spacing w:line="400" w:lineRule="exact"/>
        <w:jc w:val="center"/>
        <w:rPr>
          <w:rFonts w:ascii="仿宋_GB2312" w:hAnsi="宋体" w:eastAsia="仿宋_GB2312"/>
          <w:color w:val="auto"/>
          <w:sz w:val="36"/>
          <w:szCs w:val="36"/>
          <w:highlight w:val="none"/>
        </w:rPr>
      </w:pPr>
      <w:r>
        <w:rPr>
          <w:rFonts w:ascii="仿宋_GB2312" w:hAnsi="宋体" w:eastAsia="仿宋_GB2312"/>
          <w:color w:val="auto"/>
          <w:sz w:val="36"/>
          <w:szCs w:val="36"/>
          <w:highlight w:val="none"/>
        </w:rPr>
        <w:t>安全施工合同</w:t>
      </w:r>
    </w:p>
    <w:p>
      <w:pPr>
        <w:rPr>
          <w:color w:val="auto"/>
          <w:highlight w:val="none"/>
        </w:rPr>
      </w:pPr>
    </w:p>
    <w:p>
      <w:pPr>
        <w:autoSpaceDE w:val="0"/>
        <w:autoSpaceDN w:val="0"/>
        <w:adjustRightInd w:val="0"/>
        <w:spacing w:line="360" w:lineRule="auto"/>
        <w:ind w:firstLine="600" w:firstLineChars="2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为在工程施工合同的实施过程中创造安全、高效的施工环境，切实搞好本项目的安全管理工作，本项目业主(以下简称“甲方”)与乙方(以下简称“乙方”)特此签订安全生产合同：</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一、甲方职责</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1．严格遵守国家有关安全生产的法律法规，认真执行工程承包合同中的有关安全要求。</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2．按照“安全第一、预防为主”和坚持“管生产必须管安全”的原则进行安全生产管理，做到生产与安全工作同时计划、布置、检查、总结和评比。</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3．重要的安全设施必须坚持与主体工程“三同时”的原则，即：同时设计、审批，同时施工，同时验收，投入使用。</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4．定期召开安全生产调度会，及时传达中央及地方有关安全生产的精神。</w:t>
      </w:r>
    </w:p>
    <w:p>
      <w:pPr>
        <w:autoSpaceDE w:val="0"/>
        <w:autoSpaceDN w:val="0"/>
        <w:adjustRightInd w:val="0"/>
        <w:spacing w:line="360" w:lineRule="auto"/>
        <w:ind w:firstLine="360" w:firstLineChars="1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 xml:space="preserve"> 5．组织对乙方施工现场安全生产检查，监督乙方及时处理发现的各种安全隐患。</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二、乙方职责</w:t>
      </w:r>
    </w:p>
    <w:p>
      <w:pPr>
        <w:autoSpaceDE w:val="0"/>
        <w:autoSpaceDN w:val="0"/>
        <w:adjustRightInd w:val="0"/>
        <w:spacing w:line="360" w:lineRule="auto"/>
        <w:ind w:firstLine="360" w:firstLineChars="1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 xml:space="preserve"> 1．严格遵守国家有关安全生产的法律法规及相关规定，认真执行工程承包合同中的有关安全要求。</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autoSpaceDE w:val="0"/>
        <w:autoSpaceDN w:val="0"/>
        <w:adjustRightInd w:val="0"/>
        <w:spacing w:line="360" w:lineRule="auto"/>
        <w:ind w:firstLine="360" w:firstLineChars="1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 xml:space="preserve"> 4．乙方在任何时候都应采取各种合理的预防措施，防止其员工发生任何违法、违禁、暴力或妨碍治安的行为。</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7.操作人员上岗，必须按规定穿戴防护用品。施工负责人和安全检查员应随时检查劳动防护用品的穿戴情况，不按规定穿戴防护用品的人员不得上岗。</w:t>
      </w:r>
    </w:p>
    <w:p>
      <w:pPr>
        <w:autoSpaceDE w:val="0"/>
        <w:autoSpaceDN w:val="0"/>
        <w:adjustRightInd w:val="0"/>
        <w:spacing w:line="360" w:lineRule="auto"/>
        <w:ind w:firstLine="360" w:firstLineChars="15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 xml:space="preserve"> 8.所有施工机具设备和高空作业的设备均应定期检查，并有安全员的签字记录，保证其经常处于完好状态；不合格的机具、设备和劳动保护用品严禁使用。</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9.施工中采用新技术、新工艺、新设备、新材料时，必须制定相应的安全技术措施，施工现场必须具有相关的安全标志牌。</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三、违约责任</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如因甲方或乙方违约造成安全事故，将依法追究责任，费用由责任方自行承担。</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本合同正本一式捌份，甲方执伍份，乙方执叁份。由双方法定代表人或其授权的代理人签署与加盖法人章后生效，全部工程竣工验收后失效。</w:t>
      </w:r>
    </w:p>
    <w:p>
      <w:pPr>
        <w:pStyle w:val="2"/>
        <w:rPr>
          <w:color w:val="auto"/>
          <w:highlight w:val="none"/>
        </w:rPr>
      </w:pP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甲方：（盖单位章）                       乙方：（盖单位章）</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法定代表人或授权代理人（签字）：         法定代表人授权代理人（签字）：</w:t>
      </w:r>
    </w:p>
    <w:p>
      <w:pPr>
        <w:autoSpaceDE w:val="0"/>
        <w:autoSpaceDN w:val="0"/>
        <w:adjustRightInd w:val="0"/>
        <w:spacing w:line="360" w:lineRule="auto"/>
        <w:ind w:firstLine="480" w:firstLineChars="200"/>
        <w:jc w:val="left"/>
        <w:rPr>
          <w:rFonts w:ascii="仿宋_GB2312" w:hAnsi="宋体" w:eastAsia="仿宋_GB2312"/>
          <w:color w:val="auto"/>
          <w:sz w:val="24"/>
          <w:szCs w:val="20"/>
          <w:highlight w:val="none"/>
        </w:rPr>
      </w:pPr>
      <w:r>
        <w:rPr>
          <w:rFonts w:ascii="仿宋_GB2312" w:hAnsi="宋体" w:eastAsia="仿宋_GB2312"/>
          <w:color w:val="auto"/>
          <w:sz w:val="24"/>
          <w:szCs w:val="20"/>
          <w:highlight w:val="none"/>
        </w:rPr>
        <w:t>地址：                                   地址：</w:t>
      </w:r>
    </w:p>
    <w:p>
      <w:pPr>
        <w:rPr>
          <w:color w:val="auto"/>
          <w:szCs w:val="20"/>
          <w:highlight w:val="none"/>
        </w:rPr>
      </w:pPr>
    </w:p>
    <w:p>
      <w:pPr>
        <w:pStyle w:val="19"/>
        <w:rPr>
          <w:color w:val="auto"/>
          <w:highlight w:val="none"/>
        </w:rPr>
      </w:pPr>
    </w:p>
    <w:bookmarkEnd w:id="572"/>
    <w:bookmarkEnd w:id="573"/>
    <w:bookmarkEnd w:id="574"/>
    <w:bookmarkEnd w:id="575"/>
    <w:bookmarkEnd w:id="576"/>
    <w:bookmarkEnd w:id="577"/>
    <w:bookmarkEnd w:id="578"/>
    <w:p>
      <w:pPr>
        <w:widowControl/>
        <w:jc w:val="left"/>
        <w:rPr>
          <w:rFonts w:ascii="宋体" w:hAnsi="宋体" w:cs="宋体"/>
          <w:b/>
          <w:bCs/>
          <w:color w:val="auto"/>
          <w:sz w:val="36"/>
          <w:szCs w:val="44"/>
          <w:highlight w:val="none"/>
        </w:rPr>
      </w:pPr>
      <w:bookmarkStart w:id="579" w:name="_Toc152042575"/>
      <w:bookmarkStart w:id="580" w:name="_Toc246997097"/>
      <w:bookmarkStart w:id="581" w:name="_Toc144974855"/>
      <w:bookmarkStart w:id="582" w:name="_Toc179632806"/>
      <w:bookmarkStart w:id="583" w:name="_Toc247085872"/>
      <w:bookmarkStart w:id="584" w:name="_Toc246996354"/>
      <w:bookmarkStart w:id="585" w:name="_Toc152045786"/>
      <w:r>
        <w:rPr>
          <w:rFonts w:ascii="宋体" w:hAnsi="宋体" w:cs="宋体"/>
          <w:b/>
          <w:bCs/>
          <w:color w:val="auto"/>
          <w:sz w:val="36"/>
          <w:szCs w:val="44"/>
          <w:highlight w:val="none"/>
        </w:rPr>
        <w:br w:type="page"/>
      </w:r>
    </w:p>
    <w:p>
      <w:pPr>
        <w:spacing w:line="360" w:lineRule="auto"/>
        <w:jc w:val="center"/>
        <w:outlineLvl w:val="0"/>
        <w:rPr>
          <w:rFonts w:ascii="宋体" w:hAnsi="宋体" w:cs="宋体"/>
          <w:b/>
          <w:bCs/>
          <w:color w:val="auto"/>
          <w:kern w:val="44"/>
          <w:sz w:val="44"/>
          <w:szCs w:val="44"/>
          <w:highlight w:val="none"/>
        </w:rPr>
      </w:pPr>
      <w:bookmarkStart w:id="586" w:name="_Toc147994746"/>
      <w:r>
        <w:rPr>
          <w:rFonts w:hint="eastAsia" w:ascii="宋体" w:hAnsi="宋体" w:cs="宋体"/>
          <w:b/>
          <w:bCs/>
          <w:color w:val="auto"/>
          <w:kern w:val="44"/>
          <w:sz w:val="44"/>
          <w:szCs w:val="44"/>
          <w:highlight w:val="none"/>
        </w:rPr>
        <w:t>第四章  报价文件部分格式</w:t>
      </w:r>
      <w:bookmarkEnd w:id="579"/>
      <w:bookmarkEnd w:id="580"/>
      <w:bookmarkEnd w:id="581"/>
      <w:bookmarkEnd w:id="582"/>
      <w:bookmarkEnd w:id="583"/>
      <w:bookmarkEnd w:id="584"/>
      <w:bookmarkEnd w:id="585"/>
      <w:bookmarkEnd w:id="586"/>
    </w:p>
    <w:p>
      <w:pPr>
        <w:spacing w:line="360" w:lineRule="auto"/>
        <w:rPr>
          <w:rFonts w:ascii="宋体" w:hAnsi="宋体" w:cs="宋体"/>
          <w:color w:val="auto"/>
          <w:sz w:val="20"/>
          <w:szCs w:val="20"/>
          <w:highlight w:val="none"/>
        </w:rPr>
      </w:pPr>
    </w:p>
    <w:p>
      <w:pPr>
        <w:spacing w:line="360" w:lineRule="auto"/>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rPr>
        <w:t>标段</w:t>
      </w:r>
    </w:p>
    <w:p>
      <w:pPr>
        <w:spacing w:line="360" w:lineRule="auto"/>
        <w:rPr>
          <w:rFonts w:ascii="宋体" w:hAnsi="宋体" w:cs="宋体"/>
          <w:color w:val="auto"/>
          <w:sz w:val="20"/>
          <w:szCs w:val="20"/>
          <w:highlight w:val="none"/>
        </w:rPr>
      </w:pPr>
    </w:p>
    <w:p>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ind w:firstLine="2800" w:firstLineChars="1000"/>
        <w:rPr>
          <w:rFonts w:ascii="宋体" w:hAnsi="宋体" w:cs="宋体"/>
          <w:color w:val="auto"/>
          <w:sz w:val="28"/>
          <w:szCs w:val="28"/>
          <w:highlight w:val="none"/>
        </w:rPr>
      </w:pPr>
      <w:r>
        <w:rPr>
          <w:rFonts w:hint="eastAsia" w:ascii="宋体" w:hAnsi="宋体" w:cs="宋体"/>
          <w:color w:val="auto"/>
          <w:sz w:val="28"/>
          <w:szCs w:val="28"/>
          <w:highlight w:val="none"/>
        </w:rPr>
        <w:t>项目编号：</w:t>
      </w: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报价人：（盖单位章）</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法定代表人或其委托代理人：（签名）</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年月日</w:t>
      </w:r>
    </w:p>
    <w:p>
      <w:pPr>
        <w:pStyle w:val="4"/>
        <w:spacing w:before="0" w:after="0" w:line="360" w:lineRule="auto"/>
        <w:jc w:val="center"/>
        <w:rPr>
          <w:rFonts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587" w:name="_Toc246996356"/>
      <w:bookmarkStart w:id="588" w:name="_Toc152042577"/>
      <w:bookmarkStart w:id="589" w:name="_Toc179632808"/>
      <w:bookmarkStart w:id="590" w:name="_Toc144974857"/>
      <w:bookmarkStart w:id="591" w:name="_Toc246997099"/>
      <w:bookmarkStart w:id="592" w:name="_Toc152045788"/>
      <w:bookmarkStart w:id="593" w:name="_Toc247085874"/>
      <w:bookmarkStart w:id="594" w:name="_Toc107479267"/>
      <w:bookmarkStart w:id="595" w:name="_Toc147994747"/>
      <w:r>
        <w:rPr>
          <w:rFonts w:hint="eastAsia" w:ascii="宋体" w:hAnsi="宋体" w:eastAsia="宋体" w:cs="宋体"/>
          <w:color w:val="auto"/>
          <w:highlight w:val="none"/>
        </w:rPr>
        <w:t>一、</w:t>
      </w:r>
      <w:bookmarkEnd w:id="587"/>
      <w:bookmarkEnd w:id="588"/>
      <w:bookmarkEnd w:id="589"/>
      <w:bookmarkEnd w:id="590"/>
      <w:bookmarkEnd w:id="591"/>
      <w:bookmarkEnd w:id="592"/>
      <w:bookmarkEnd w:id="593"/>
      <w:r>
        <w:rPr>
          <w:rFonts w:hint="eastAsia" w:ascii="宋体" w:hAnsi="宋体" w:eastAsia="宋体" w:cs="宋体"/>
          <w:color w:val="auto"/>
          <w:highlight w:val="none"/>
        </w:rPr>
        <w:t>报价函</w:t>
      </w:r>
      <w:bookmarkEnd w:id="594"/>
      <w:bookmarkEnd w:id="595"/>
    </w:p>
    <w:p>
      <w:pPr>
        <w:spacing w:line="440" w:lineRule="exact"/>
        <w:rPr>
          <w:rFonts w:ascii="宋体" w:hAnsi="宋体" w:cs="宋体"/>
          <w:color w:val="auto"/>
          <w:szCs w:val="21"/>
          <w:highlight w:val="none"/>
        </w:rPr>
      </w:pPr>
      <w:r>
        <w:rPr>
          <w:rFonts w:hint="eastAsia" w:ascii="宋体" w:hAnsi="宋体" w:cs="宋体"/>
          <w:color w:val="auto"/>
          <w:szCs w:val="21"/>
          <w:highlight w:val="none"/>
        </w:rPr>
        <w:t>（采购人名称）：</w:t>
      </w:r>
    </w:p>
    <w:p>
      <w:pPr>
        <w:spacing w:line="440" w:lineRule="exact"/>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1．我方已仔细研究了（项目名称）</w:t>
      </w:r>
      <w:r>
        <w:rPr>
          <w:rFonts w:hint="eastAsia" w:ascii="宋体" w:hAnsi="宋体" w:cs="宋体"/>
          <w:color w:val="auto"/>
          <w:szCs w:val="21"/>
          <w:highlight w:val="none"/>
          <w:u w:val="single"/>
        </w:rPr>
        <w:t>标段</w:t>
      </w:r>
      <w:r>
        <w:rPr>
          <w:rFonts w:hint="eastAsia" w:ascii="宋体" w:hAnsi="宋体" w:cs="宋体"/>
          <w:color w:val="auto"/>
          <w:szCs w:val="21"/>
          <w:highlight w:val="none"/>
        </w:rPr>
        <w:t>竞争性谈判文件的全部内容，愿意以人民币（大写）（¥）的总报价，工期 日历天，按合同约定实施和完成承包工程，修补工程中的任何缺陷，工程质量达到。</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2．我方承诺在竞争性谈判文件规定的谈判有效期内不修改、撤销报价文件。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3．随同本报价函提交谈判保证金一份，金额为人民币（大写）（¥）。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4．如我方成交：</w:t>
      </w:r>
    </w:p>
    <w:p>
      <w:pPr>
        <w:spacing w:line="44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（1）我方承诺在收到成交通知书后，在成交通知书规定的期限内与你方签订合同。</w:t>
      </w:r>
    </w:p>
    <w:p>
      <w:pPr>
        <w:spacing w:line="44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（2）我方承诺按照竞争性谈判文件规定向你方递交履约保证金。</w:t>
      </w:r>
    </w:p>
    <w:p>
      <w:pPr>
        <w:spacing w:line="44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（3）我方承诺在合同约定的期限内完成并移交全部合同工程。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我方在此声明，所递交的报价文件及有关资料内容完整、真实和准确，且不存在第一章“报价人须知”第1.4.2项和第1.4.3项规定的任何一种情形。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6．（其他补充说明）。</w:t>
      </w:r>
    </w:p>
    <w:p>
      <w:pPr>
        <w:spacing w:line="440" w:lineRule="exact"/>
        <w:rPr>
          <w:rFonts w:ascii="宋体" w:hAnsi="宋体" w:cs="宋体"/>
          <w:color w:val="auto"/>
          <w:szCs w:val="21"/>
          <w:highlight w:val="none"/>
        </w:rPr>
      </w:pP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投 标 人：（盖单位章）</w:t>
      </w: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法定代表人或其委托代理人：（签名）</w:t>
      </w: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地址：</w:t>
      </w: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网址：</w:t>
      </w: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电话：</w:t>
      </w: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传真：</w:t>
      </w:r>
    </w:p>
    <w:p>
      <w:pPr>
        <w:spacing w:line="44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邮政编码：</w:t>
      </w:r>
    </w:p>
    <w:p>
      <w:pPr>
        <w:spacing w:line="440" w:lineRule="exact"/>
        <w:ind w:firstLine="5040" w:firstLineChars="2400"/>
        <w:rPr>
          <w:rFonts w:ascii="宋体" w:hAnsi="宋体" w:cs="宋体"/>
          <w:color w:val="auto"/>
          <w:szCs w:val="21"/>
          <w:highlight w:val="none"/>
        </w:rPr>
      </w:pPr>
      <w:r>
        <w:rPr>
          <w:rFonts w:hint="eastAsia" w:ascii="宋体" w:hAnsi="宋体" w:cs="宋体"/>
          <w:color w:val="auto"/>
          <w:szCs w:val="21"/>
          <w:highlight w:val="none"/>
        </w:rPr>
        <w:t>年月日</w:t>
      </w:r>
    </w:p>
    <w:p>
      <w:pPr>
        <w:spacing w:line="440" w:lineRule="exact"/>
        <w:rPr>
          <w:rFonts w:ascii="宋体" w:hAnsi="宋体" w:cs="宋体"/>
          <w:color w:val="auto"/>
          <w:szCs w:val="21"/>
          <w:highlight w:val="none"/>
        </w:rPr>
      </w:pPr>
    </w:p>
    <w:p>
      <w:pPr>
        <w:pStyle w:val="4"/>
        <w:jc w:val="center"/>
        <w:rPr>
          <w:rFonts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596" w:name="_Toc246996359"/>
      <w:bookmarkStart w:id="597" w:name="_Toc144974860"/>
      <w:bookmarkStart w:id="598" w:name="_Toc152045791"/>
      <w:bookmarkStart w:id="599" w:name="_Toc147994748"/>
      <w:bookmarkStart w:id="600" w:name="_Toc246997102"/>
      <w:bookmarkStart w:id="601" w:name="_Toc107479268"/>
      <w:bookmarkStart w:id="602" w:name="_Toc179632811"/>
      <w:bookmarkStart w:id="603" w:name="_Toc247085877"/>
      <w:bookmarkStart w:id="604" w:name="_Toc152042580"/>
      <w:r>
        <w:rPr>
          <w:rFonts w:hint="eastAsia" w:ascii="宋体" w:hAnsi="宋体" w:eastAsia="宋体" w:cs="宋体"/>
          <w:color w:val="auto"/>
          <w:highlight w:val="none"/>
        </w:rPr>
        <w:t>二、法定代表人身份证明</w:t>
      </w:r>
      <w:bookmarkEnd w:id="596"/>
      <w:bookmarkEnd w:id="597"/>
      <w:bookmarkEnd w:id="598"/>
      <w:bookmarkEnd w:id="599"/>
      <w:bookmarkEnd w:id="600"/>
      <w:bookmarkEnd w:id="601"/>
      <w:bookmarkEnd w:id="602"/>
      <w:bookmarkEnd w:id="603"/>
      <w:bookmarkEnd w:id="604"/>
    </w:p>
    <w:p>
      <w:pPr>
        <w:spacing w:line="440" w:lineRule="exact"/>
        <w:rPr>
          <w:rFonts w:ascii="宋体" w:hAnsi="宋体" w:cs="宋体"/>
          <w:color w:val="auto"/>
          <w:szCs w:val="21"/>
          <w:highlight w:val="none"/>
        </w:rPr>
      </w:pPr>
      <w:r>
        <w:rPr>
          <w:rFonts w:hint="eastAsia" w:ascii="宋体" w:hAnsi="宋体" w:cs="宋体"/>
          <w:color w:val="auto"/>
          <w:szCs w:val="21"/>
          <w:highlight w:val="none"/>
        </w:rPr>
        <w:t>报价人名称：</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单位性质：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地址：</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成立时间：年月日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经营期限：</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姓名： 性别：年龄：职务：</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系 （报价人名称）的法定代表人。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pPr>
        <w:pStyle w:val="18"/>
        <w:spacing w:after="120"/>
        <w:ind w:left="100" w:right="1980"/>
        <w:rPr>
          <w:rFonts w:hint="default"/>
          <w:color w:val="auto"/>
          <w:highlight w:val="none"/>
        </w:rPr>
      </w:pPr>
    </w:p>
    <w:p>
      <w:pPr>
        <w:pStyle w:val="18"/>
        <w:spacing w:after="120"/>
        <w:ind w:left="100" w:right="1980"/>
        <w:rPr>
          <w:rFonts w:hint="default"/>
          <w:color w:val="auto"/>
          <w:highlight w:val="none"/>
        </w:rPr>
      </w:pPr>
    </w:p>
    <w:p>
      <w:pPr>
        <w:pStyle w:val="18"/>
        <w:spacing w:after="120"/>
        <w:ind w:left="100" w:right="1980"/>
        <w:rPr>
          <w:rFonts w:hint="default"/>
          <w:color w:val="auto"/>
          <w:highlight w:val="none"/>
        </w:rPr>
      </w:pPr>
      <w:r>
        <w:rPr>
          <w:color w:val="auto"/>
          <w:highlight w:val="none"/>
        </w:rPr>
        <w:t>附：法定代表人身份证复印件。</w:t>
      </w:r>
    </w:p>
    <w:p>
      <w:pPr>
        <w:pStyle w:val="18"/>
        <w:spacing w:after="120"/>
        <w:ind w:left="100" w:right="1980"/>
        <w:rPr>
          <w:rFonts w:hint="default"/>
          <w:color w:val="auto"/>
          <w:highlight w:val="none"/>
        </w:rPr>
      </w:pPr>
      <w:r>
        <w:rPr>
          <w:color w:val="auto"/>
          <w:highlight w:val="none"/>
        </w:rPr>
        <w:t>注：本身份证明需由报价人加盖单位公章。</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报价人：（盖单位章）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年月日           </w:t>
      </w:r>
    </w:p>
    <w:p>
      <w:pPr>
        <w:spacing w:line="440" w:lineRule="exact"/>
        <w:jc w:val="center"/>
        <w:outlineLvl w:val="1"/>
        <w:rPr>
          <w:rFonts w:ascii="宋体" w:hAnsi="宋体" w:cs="宋体"/>
          <w:color w:val="auto"/>
          <w:highlight w:val="none"/>
        </w:rPr>
      </w:pPr>
      <w:r>
        <w:rPr>
          <w:rFonts w:hint="eastAsia" w:ascii="宋体" w:hAnsi="宋体" w:cs="宋体"/>
          <w:color w:val="auto"/>
          <w:sz w:val="20"/>
          <w:szCs w:val="20"/>
          <w:highlight w:val="none"/>
        </w:rPr>
        <w:br w:type="page"/>
      </w:r>
      <w:bookmarkStart w:id="605" w:name="_Toc147994749"/>
      <w:bookmarkStart w:id="606" w:name="_Toc152045792"/>
      <w:bookmarkStart w:id="607" w:name="_Toc246996360"/>
      <w:bookmarkStart w:id="608" w:name="_Toc107479269"/>
      <w:bookmarkStart w:id="609" w:name="_Toc246997103"/>
      <w:bookmarkStart w:id="610" w:name="_Toc247085878"/>
      <w:bookmarkStart w:id="611" w:name="_Toc152042581"/>
      <w:bookmarkStart w:id="612" w:name="_Toc179632812"/>
      <w:bookmarkStart w:id="613" w:name="_Toc144974861"/>
      <w:r>
        <w:rPr>
          <w:rFonts w:hint="eastAsia" w:ascii="宋体" w:hAnsi="宋体" w:cs="宋体"/>
          <w:b/>
          <w:bCs/>
          <w:color w:val="auto"/>
          <w:sz w:val="32"/>
          <w:szCs w:val="32"/>
          <w:highlight w:val="none"/>
        </w:rPr>
        <w:t>三、授权委托书</w:t>
      </w:r>
      <w:bookmarkEnd w:id="605"/>
      <w:bookmarkEnd w:id="606"/>
      <w:bookmarkEnd w:id="607"/>
      <w:bookmarkEnd w:id="608"/>
      <w:bookmarkEnd w:id="609"/>
      <w:bookmarkEnd w:id="610"/>
      <w:bookmarkEnd w:id="611"/>
      <w:bookmarkEnd w:id="612"/>
      <w:bookmarkEnd w:id="613"/>
    </w:p>
    <w:p>
      <w:pPr>
        <w:spacing w:line="440" w:lineRule="exact"/>
        <w:rPr>
          <w:rFonts w:ascii="宋体" w:hAnsi="宋体" w:cs="宋体"/>
          <w:color w:val="auto"/>
          <w:szCs w:val="21"/>
          <w:highlight w:val="none"/>
        </w:rPr>
      </w:pPr>
    </w:p>
    <w:p>
      <w:pPr>
        <w:topLinePunct/>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本人（姓名）系（报价人名称）的法定代表人，现委托（姓名）为我方代理人。代理人根据授权，以我方名义签署、澄清、说明、补正、递交、撤回、修改（项目名称）</w:t>
      </w:r>
      <w:r>
        <w:rPr>
          <w:rFonts w:hint="eastAsia" w:ascii="宋体" w:hAnsi="宋体" w:cs="宋体"/>
          <w:color w:val="auto"/>
          <w:szCs w:val="21"/>
          <w:highlight w:val="none"/>
          <w:u w:val="single"/>
        </w:rPr>
        <w:t>标段</w:t>
      </w:r>
      <w:r>
        <w:rPr>
          <w:rFonts w:hint="eastAsia" w:ascii="宋体" w:hAnsi="宋体" w:cs="宋体"/>
          <w:color w:val="auto"/>
          <w:szCs w:val="21"/>
          <w:highlight w:val="none"/>
        </w:rPr>
        <w:t>报价文件、签订合同和处理有关事宜，其法律后果由我方承担。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自本授权委托书签署之日起至谈判有效期截止之日止</w:t>
      </w:r>
      <w:r>
        <w:rPr>
          <w:rFonts w:hint="eastAsia" w:ascii="宋体" w:hAnsi="宋体" w:cs="宋体"/>
          <w:color w:val="auto"/>
          <w:szCs w:val="21"/>
          <w:highlight w:val="none"/>
        </w:rPr>
        <w:t>。</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pStyle w:val="18"/>
        <w:spacing w:after="120"/>
        <w:ind w:left="100" w:right="21"/>
        <w:rPr>
          <w:rFonts w:hint="default"/>
          <w:color w:val="auto"/>
          <w:highlight w:val="none"/>
        </w:rPr>
      </w:pPr>
    </w:p>
    <w:p>
      <w:pPr>
        <w:pStyle w:val="18"/>
        <w:spacing w:after="120"/>
        <w:ind w:left="100" w:right="21"/>
        <w:rPr>
          <w:rFonts w:hint="default"/>
          <w:color w:val="auto"/>
          <w:highlight w:val="none"/>
        </w:rPr>
      </w:pPr>
      <w:r>
        <w:rPr>
          <w:color w:val="auto"/>
          <w:highlight w:val="none"/>
        </w:rPr>
        <w:t>附：法定代表人身份证（双面）复印件及委托代理人身份证（双面）复印件</w:t>
      </w:r>
    </w:p>
    <w:p>
      <w:pPr>
        <w:pStyle w:val="18"/>
        <w:spacing w:after="120" w:line="384" w:lineRule="auto"/>
        <w:ind w:left="100" w:right="21"/>
        <w:rPr>
          <w:rFonts w:hint="default"/>
          <w:color w:val="auto"/>
          <w:highlight w:val="none"/>
        </w:rPr>
      </w:pPr>
      <w:r>
        <w:rPr>
          <w:color w:val="auto"/>
          <w:highlight w:val="none"/>
        </w:rPr>
        <w:t>注：本授权委托书需由报价人加盖单位公章并由其法定代表人和委托代理人签名。</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报价人：（盖单位章）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法定代表人：（签名）</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委托代理人：（签名） </w:t>
      </w:r>
    </w:p>
    <w:p>
      <w:pPr>
        <w:spacing w:line="440" w:lineRule="exact"/>
        <w:ind w:firstLine="2310" w:firstLineChars="1100"/>
        <w:rPr>
          <w:rFonts w:ascii="宋体" w:hAnsi="宋体" w:cs="宋体"/>
          <w:color w:val="auto"/>
          <w:szCs w:val="21"/>
          <w:highlight w:val="none"/>
        </w:rPr>
      </w:pPr>
      <w:r>
        <w:rPr>
          <w:rFonts w:hint="eastAsia" w:ascii="宋体" w:hAnsi="宋体" w:cs="宋体"/>
          <w:color w:val="auto"/>
          <w:szCs w:val="21"/>
          <w:highlight w:val="none"/>
        </w:rPr>
        <w:t>年月日</w:t>
      </w:r>
    </w:p>
    <w:p>
      <w:pPr>
        <w:spacing w:line="440" w:lineRule="exact"/>
        <w:jc w:val="center"/>
        <w:rPr>
          <w:rFonts w:ascii="宋体" w:hAnsi="宋体" w:cs="宋体"/>
          <w:color w:val="auto"/>
          <w:sz w:val="20"/>
          <w:szCs w:val="20"/>
          <w:highlight w:val="none"/>
        </w:rPr>
      </w:pPr>
    </w:p>
    <w:p>
      <w:pPr>
        <w:spacing w:line="440" w:lineRule="exact"/>
        <w:jc w:val="center"/>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注：本授权书后附授权人本单位的养老保险证明。</w:t>
      </w:r>
    </w:p>
    <w:p>
      <w:pPr>
        <w:spacing w:line="440" w:lineRule="exact"/>
        <w:jc w:val="center"/>
        <w:outlineLvl w:val="1"/>
        <w:rPr>
          <w:rFonts w:ascii="宋体" w:hAnsi="宋体" w:cs="宋体"/>
          <w:b/>
          <w:bCs/>
          <w:color w:val="auto"/>
          <w:sz w:val="32"/>
          <w:szCs w:val="32"/>
          <w:highlight w:val="none"/>
        </w:rPr>
      </w:pPr>
      <w:r>
        <w:rPr>
          <w:rFonts w:hint="eastAsia" w:ascii="宋体" w:hAnsi="宋体" w:cs="宋体"/>
          <w:color w:val="auto"/>
          <w:sz w:val="20"/>
          <w:szCs w:val="20"/>
          <w:highlight w:val="none"/>
        </w:rPr>
        <w:br w:type="page"/>
      </w:r>
      <w:bookmarkStart w:id="614" w:name="_Toc147994750"/>
      <w:bookmarkStart w:id="615" w:name="_Toc107479270"/>
      <w:bookmarkStart w:id="616" w:name="_Toc144974862"/>
      <w:bookmarkStart w:id="617" w:name="_Toc246996362"/>
      <w:bookmarkStart w:id="618" w:name="_Toc179632814"/>
      <w:bookmarkStart w:id="619" w:name="_Toc246997105"/>
      <w:bookmarkStart w:id="620" w:name="_Toc152042583"/>
      <w:bookmarkStart w:id="621" w:name="_Toc247085880"/>
      <w:bookmarkStart w:id="622" w:name="_Toc152045794"/>
      <w:r>
        <w:rPr>
          <w:rFonts w:hint="eastAsia" w:ascii="宋体" w:hAnsi="宋体" w:cs="宋体"/>
          <w:b/>
          <w:bCs/>
          <w:color w:val="auto"/>
          <w:sz w:val="32"/>
          <w:szCs w:val="32"/>
          <w:highlight w:val="none"/>
        </w:rPr>
        <w:t>四、唱价单</w:t>
      </w:r>
      <w:bookmarkEnd w:id="614"/>
      <w:bookmarkEnd w:id="615"/>
    </w:p>
    <w:p>
      <w:pPr>
        <w:pStyle w:val="19"/>
        <w:rPr>
          <w:color w:val="auto"/>
          <w:highlight w:val="none"/>
        </w:rPr>
      </w:pPr>
    </w:p>
    <w:tbl>
      <w:tblPr>
        <w:tblStyle w:val="48"/>
        <w:tblW w:w="9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549"/>
        <w:gridCol w:w="880"/>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投标人</w:t>
            </w:r>
          </w:p>
        </w:tc>
        <w:tc>
          <w:tcPr>
            <w:tcW w:w="7704" w:type="dxa"/>
            <w:gridSpan w:val="3"/>
            <w:vAlign w:val="center"/>
          </w:tcPr>
          <w:p>
            <w:pPr>
              <w:spacing w:line="320" w:lineRule="exac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标段</w:t>
            </w:r>
          </w:p>
        </w:tc>
        <w:tc>
          <w:tcPr>
            <w:tcW w:w="7704" w:type="dxa"/>
            <w:gridSpan w:val="3"/>
            <w:vAlign w:val="center"/>
          </w:tcPr>
          <w:p>
            <w:pPr>
              <w:spacing w:line="320" w:lineRule="exac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工程名称</w:t>
            </w:r>
          </w:p>
        </w:tc>
        <w:tc>
          <w:tcPr>
            <w:tcW w:w="7704" w:type="dxa"/>
            <w:gridSpan w:val="3"/>
            <w:vAlign w:val="center"/>
          </w:tcPr>
          <w:p>
            <w:pPr>
              <w:spacing w:line="320" w:lineRule="exac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投标报价</w:t>
            </w:r>
          </w:p>
        </w:tc>
        <w:tc>
          <w:tcPr>
            <w:tcW w:w="7704" w:type="dxa"/>
            <w:gridSpan w:val="3"/>
            <w:vAlign w:val="center"/>
          </w:tcPr>
          <w:p>
            <w:pPr>
              <w:spacing w:line="480" w:lineRule="exact"/>
              <w:rPr>
                <w:rFonts w:ascii="宋体" w:hAnsi="宋体"/>
                <w:bCs/>
                <w:color w:val="auto"/>
                <w:sz w:val="24"/>
                <w:highlight w:val="none"/>
                <w:u w:val="single"/>
              </w:rPr>
            </w:pPr>
            <w:r>
              <w:rPr>
                <w:rFonts w:hint="eastAsia" w:ascii="宋体" w:hAnsi="宋体"/>
                <w:bCs/>
                <w:color w:val="auto"/>
                <w:sz w:val="24"/>
                <w:highlight w:val="none"/>
              </w:rPr>
              <w:t>总报价：大写：</w:t>
            </w:r>
            <w:r>
              <w:rPr>
                <w:rFonts w:hint="eastAsia" w:ascii="宋体" w:hAnsi="宋体"/>
                <w:bCs/>
                <w:color w:val="auto"/>
                <w:sz w:val="24"/>
                <w:highlight w:val="none"/>
                <w:u w:val="single"/>
              </w:rPr>
              <w:t xml:space="preserve">                   ；</w:t>
            </w:r>
          </w:p>
          <w:p>
            <w:pPr>
              <w:spacing w:line="480" w:lineRule="exact"/>
              <w:ind w:firstLine="960" w:firstLineChars="400"/>
              <w:rPr>
                <w:rFonts w:ascii="宋体" w:hAnsi="宋体"/>
                <w:bCs/>
                <w:color w:val="auto"/>
                <w:sz w:val="24"/>
                <w:highlight w:val="none"/>
                <w:u w:val="single"/>
              </w:rPr>
            </w:pPr>
            <w:r>
              <w:rPr>
                <w:rFonts w:hint="eastAsia" w:ascii="宋体" w:hAnsi="宋体"/>
                <w:bCs/>
                <w:color w:val="auto"/>
                <w:sz w:val="24"/>
                <w:highlight w:val="none"/>
              </w:rPr>
              <w:t>小写：</w:t>
            </w:r>
            <w:r>
              <w:rPr>
                <w:rFonts w:hint="eastAsia" w:ascii="宋体" w:hAnsi="宋体"/>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工期</w:t>
            </w:r>
          </w:p>
        </w:tc>
        <w:tc>
          <w:tcPr>
            <w:tcW w:w="7704" w:type="dxa"/>
            <w:gridSpan w:val="3"/>
            <w:vAlign w:val="bottom"/>
          </w:tcPr>
          <w:p>
            <w:pPr>
              <w:spacing w:line="320" w:lineRule="exac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质量目标</w:t>
            </w:r>
          </w:p>
        </w:tc>
        <w:tc>
          <w:tcPr>
            <w:tcW w:w="7704" w:type="dxa"/>
            <w:gridSpan w:val="3"/>
            <w:vAlign w:val="bottom"/>
          </w:tcPr>
          <w:p>
            <w:pPr>
              <w:spacing w:line="320" w:lineRule="exac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质保期</w:t>
            </w:r>
          </w:p>
        </w:tc>
        <w:tc>
          <w:tcPr>
            <w:tcW w:w="7704" w:type="dxa"/>
            <w:gridSpan w:val="3"/>
            <w:vAlign w:val="bottom"/>
          </w:tcPr>
          <w:p>
            <w:pPr>
              <w:spacing w:line="320" w:lineRule="exac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项目经理</w:t>
            </w:r>
          </w:p>
        </w:tc>
        <w:tc>
          <w:tcPr>
            <w:tcW w:w="1549" w:type="dxa"/>
            <w:vAlign w:val="center"/>
          </w:tcPr>
          <w:p>
            <w:pPr>
              <w:spacing w:line="320" w:lineRule="exact"/>
              <w:jc w:val="center"/>
              <w:rPr>
                <w:rFonts w:ascii="宋体" w:hAnsi="宋体"/>
                <w:bCs/>
                <w:color w:val="auto"/>
                <w:sz w:val="24"/>
                <w:highlight w:val="none"/>
              </w:rPr>
            </w:pPr>
          </w:p>
        </w:tc>
        <w:tc>
          <w:tcPr>
            <w:tcW w:w="88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级别</w:t>
            </w:r>
          </w:p>
        </w:tc>
        <w:tc>
          <w:tcPr>
            <w:tcW w:w="5275" w:type="dxa"/>
            <w:tcBorders>
              <w:right w:val="single" w:color="auto" w:sz="4" w:space="0"/>
            </w:tcBorders>
            <w:vAlign w:val="center"/>
          </w:tcPr>
          <w:p>
            <w:pPr>
              <w:spacing w:line="320" w:lineRule="exact"/>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7" w:hRule="atLeast"/>
          <w:jc w:val="center"/>
        </w:trPr>
        <w:tc>
          <w:tcPr>
            <w:tcW w:w="1910" w:type="dxa"/>
            <w:vAlign w:val="center"/>
          </w:tcPr>
          <w:p>
            <w:pPr>
              <w:spacing w:line="320" w:lineRule="exact"/>
              <w:jc w:val="center"/>
              <w:rPr>
                <w:rFonts w:ascii="宋体" w:hAnsi="宋体"/>
                <w:bCs/>
                <w:color w:val="auto"/>
                <w:sz w:val="24"/>
                <w:highlight w:val="none"/>
              </w:rPr>
            </w:pPr>
            <w:r>
              <w:rPr>
                <w:rFonts w:hint="eastAsia" w:ascii="宋体" w:hAnsi="宋体"/>
                <w:bCs/>
                <w:color w:val="auto"/>
                <w:sz w:val="24"/>
                <w:highlight w:val="none"/>
              </w:rPr>
              <w:t>承诺</w:t>
            </w:r>
          </w:p>
        </w:tc>
        <w:tc>
          <w:tcPr>
            <w:tcW w:w="7704" w:type="dxa"/>
            <w:gridSpan w:val="3"/>
            <w:tcBorders>
              <w:right w:val="single" w:color="auto" w:sz="4" w:space="0"/>
            </w:tcBorders>
            <w:vAlign w:val="center"/>
          </w:tcPr>
          <w:p>
            <w:pPr>
              <w:spacing w:line="320" w:lineRule="exact"/>
              <w:rPr>
                <w:rFonts w:ascii="宋体" w:hAnsi="宋体"/>
                <w:bCs/>
                <w:color w:val="auto"/>
                <w:sz w:val="24"/>
                <w:highlight w:val="none"/>
              </w:rPr>
            </w:pPr>
            <w:r>
              <w:rPr>
                <w:rFonts w:hint="eastAsia" w:ascii="宋体" w:hAnsi="宋体"/>
                <w:bCs/>
                <w:color w:val="auto"/>
                <w:sz w:val="24"/>
                <w:highlight w:val="none"/>
              </w:rPr>
              <w:t>项目经理不兼职其他工程项目，如确有原因须更换，须事先征得招标人同意。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614" w:type="dxa"/>
            <w:gridSpan w:val="4"/>
            <w:vAlign w:val="center"/>
          </w:tcPr>
          <w:p>
            <w:pPr>
              <w:spacing w:line="320" w:lineRule="exact"/>
              <w:rPr>
                <w:rFonts w:ascii="宋体" w:hAnsi="宋体"/>
                <w:bCs/>
                <w:color w:val="auto"/>
                <w:sz w:val="24"/>
                <w:highlight w:val="none"/>
              </w:rPr>
            </w:pPr>
            <w:r>
              <w:rPr>
                <w:rFonts w:hint="eastAsia" w:ascii="宋体" w:hAnsi="宋体"/>
                <w:bCs/>
                <w:color w:val="auto"/>
                <w:sz w:val="24"/>
                <w:highlight w:val="none"/>
              </w:rPr>
              <w:t>本投标人完全认同招标文件的各项条款要求。</w:t>
            </w:r>
          </w:p>
        </w:tc>
      </w:tr>
    </w:tbl>
    <w:p>
      <w:pPr>
        <w:rPr>
          <w:rFonts w:ascii="宋体" w:hAnsi="宋体"/>
          <w:bCs/>
          <w:color w:val="auto"/>
          <w:sz w:val="24"/>
          <w:highlight w:val="none"/>
        </w:rPr>
      </w:pPr>
    </w:p>
    <w:p>
      <w:pPr>
        <w:rPr>
          <w:rFonts w:ascii="宋体" w:hAnsi="宋体"/>
          <w:bCs/>
          <w:color w:val="auto"/>
          <w:sz w:val="24"/>
          <w:highlight w:val="none"/>
        </w:rPr>
      </w:pPr>
      <w:r>
        <w:rPr>
          <w:rFonts w:hint="eastAsia" w:ascii="宋体" w:hAnsi="宋体"/>
          <w:bCs/>
          <w:color w:val="auto"/>
          <w:sz w:val="24"/>
          <w:highlight w:val="none"/>
        </w:rPr>
        <w:t>报价人：（盖章）</w:t>
      </w:r>
    </w:p>
    <w:p>
      <w:pPr>
        <w:rPr>
          <w:rFonts w:ascii="宋体" w:hAnsi="宋体"/>
          <w:bCs/>
          <w:color w:val="auto"/>
          <w:sz w:val="24"/>
          <w:highlight w:val="none"/>
        </w:rPr>
      </w:pPr>
    </w:p>
    <w:p>
      <w:pPr>
        <w:rPr>
          <w:rFonts w:ascii="宋体" w:hAnsi="宋体"/>
          <w:bCs/>
          <w:color w:val="auto"/>
          <w:sz w:val="24"/>
          <w:highlight w:val="none"/>
        </w:rPr>
      </w:pPr>
      <w:r>
        <w:rPr>
          <w:rFonts w:hint="eastAsia" w:ascii="宋体" w:hAnsi="宋体"/>
          <w:bCs/>
          <w:color w:val="auto"/>
          <w:sz w:val="24"/>
          <w:highlight w:val="none"/>
        </w:rPr>
        <w:t>法定代表人或委托代理人：（签名或盖章）</w:t>
      </w:r>
    </w:p>
    <w:p>
      <w:pPr>
        <w:jc w:val="right"/>
        <w:rPr>
          <w:rFonts w:ascii="宋体" w:hAnsi="宋体"/>
          <w:bCs/>
          <w:color w:val="auto"/>
          <w:sz w:val="24"/>
          <w:highlight w:val="none"/>
          <w:u w:val="single"/>
        </w:rPr>
      </w:pPr>
      <w:r>
        <w:rPr>
          <w:rFonts w:hint="eastAsia" w:ascii="宋体" w:hAnsi="宋体"/>
          <w:bCs/>
          <w:color w:val="auto"/>
          <w:sz w:val="24"/>
          <w:highlight w:val="none"/>
          <w:u w:val="single"/>
        </w:rPr>
        <w:t xml:space="preserve">        年      月    日</w:t>
      </w: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r>
        <w:rPr>
          <w:rFonts w:hint="eastAsia" w:ascii="宋体" w:hAnsi="宋体"/>
          <w:bCs/>
          <w:color w:val="auto"/>
          <w:sz w:val="24"/>
          <w:highlight w:val="none"/>
        </w:rPr>
        <w:t>注：各项内容务必填写详细，可以填满，但不允许添加附页，后附报价清单。</w:t>
      </w:r>
    </w:p>
    <w:p>
      <w:pPr>
        <w:spacing w:line="440" w:lineRule="exact"/>
        <w:jc w:val="center"/>
        <w:outlineLvl w:val="1"/>
        <w:rPr>
          <w:rFonts w:ascii="宋体" w:hAnsi="宋体" w:cs="宋体"/>
          <w:b/>
          <w:bCs/>
          <w:color w:val="auto"/>
          <w:sz w:val="32"/>
          <w:szCs w:val="32"/>
          <w:highlight w:val="none"/>
        </w:rPr>
      </w:pPr>
      <w:r>
        <w:rPr>
          <w:rFonts w:hint="eastAsia" w:ascii="宋体" w:hAnsi="宋体" w:cs="宋体"/>
          <w:color w:val="auto"/>
          <w:sz w:val="20"/>
          <w:szCs w:val="20"/>
          <w:highlight w:val="none"/>
        </w:rPr>
        <w:br w:type="page"/>
      </w:r>
      <w:bookmarkEnd w:id="616"/>
      <w:bookmarkEnd w:id="617"/>
      <w:bookmarkEnd w:id="618"/>
      <w:bookmarkEnd w:id="619"/>
      <w:bookmarkEnd w:id="620"/>
      <w:bookmarkEnd w:id="621"/>
      <w:bookmarkEnd w:id="622"/>
      <w:bookmarkStart w:id="623" w:name="_Toc152045796"/>
      <w:bookmarkStart w:id="624" w:name="_Toc144974864"/>
      <w:bookmarkStart w:id="625" w:name="_Toc179632816"/>
      <w:bookmarkStart w:id="626" w:name="_Toc247085882"/>
      <w:bookmarkStart w:id="627" w:name="_Toc246996364"/>
      <w:bookmarkStart w:id="628" w:name="_Toc152042585"/>
      <w:bookmarkStart w:id="629" w:name="_Toc246997107"/>
      <w:bookmarkStart w:id="630" w:name="_Toc3614"/>
    </w:p>
    <w:p>
      <w:pPr>
        <w:spacing w:line="440" w:lineRule="exact"/>
        <w:jc w:val="center"/>
        <w:outlineLvl w:val="1"/>
        <w:rPr>
          <w:rFonts w:ascii="宋体" w:hAnsi="宋体" w:cs="宋体"/>
          <w:color w:val="auto"/>
          <w:highlight w:val="none"/>
        </w:rPr>
      </w:pPr>
      <w:bookmarkStart w:id="631" w:name="_Toc147994751"/>
      <w:r>
        <w:rPr>
          <w:rFonts w:hint="eastAsia" w:ascii="宋体" w:hAnsi="宋体" w:cs="宋体"/>
          <w:b/>
          <w:bCs/>
          <w:color w:val="auto"/>
          <w:sz w:val="32"/>
          <w:szCs w:val="32"/>
          <w:highlight w:val="none"/>
        </w:rPr>
        <w:t>五、施工组织设计</w:t>
      </w:r>
      <w:bookmarkEnd w:id="623"/>
      <w:bookmarkEnd w:id="624"/>
      <w:bookmarkEnd w:id="625"/>
      <w:bookmarkEnd w:id="626"/>
      <w:bookmarkEnd w:id="627"/>
      <w:bookmarkEnd w:id="628"/>
      <w:bookmarkEnd w:id="629"/>
      <w:bookmarkEnd w:id="630"/>
      <w:bookmarkEnd w:id="631"/>
    </w:p>
    <w:p>
      <w:pPr>
        <w:tabs>
          <w:tab w:val="left" w:pos="720"/>
        </w:tabs>
        <w:spacing w:line="440" w:lineRule="exact"/>
        <w:ind w:firstLine="420" w:firstLineChars="200"/>
        <w:rPr>
          <w:rFonts w:ascii="宋体" w:hAnsi="宋体" w:cs="宋体"/>
          <w:color w:val="auto"/>
          <w:szCs w:val="21"/>
          <w:highlight w:val="none"/>
        </w:rPr>
      </w:pPr>
    </w:p>
    <w:p>
      <w:pPr>
        <w:tabs>
          <w:tab w:val="left" w:pos="72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1.投标人编制施工组织设计的要求：根据评分办法进行编制。</w:t>
      </w:r>
    </w:p>
    <w:p>
      <w:pPr>
        <w:tabs>
          <w:tab w:val="left" w:pos="72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2.图表及格式（参考）：</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附表一  拟投入的主要施工设备表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附表二  劳动力计划表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附表三  进度计划</w:t>
      </w:r>
    </w:p>
    <w:p>
      <w:pPr>
        <w:spacing w:line="440" w:lineRule="exact"/>
        <w:outlineLvl w:val="2"/>
        <w:rPr>
          <w:rFonts w:ascii="宋体" w:hAnsi="宋体" w:cs="宋体"/>
          <w:color w:val="auto"/>
          <w:highlight w:val="none"/>
        </w:rPr>
      </w:pPr>
      <w:r>
        <w:rPr>
          <w:rFonts w:hint="eastAsia" w:ascii="宋体" w:hAnsi="宋体" w:cs="宋体"/>
          <w:color w:val="auto"/>
          <w:sz w:val="20"/>
          <w:szCs w:val="20"/>
          <w:highlight w:val="none"/>
        </w:rPr>
        <w:br w:type="page"/>
      </w:r>
      <w:bookmarkStart w:id="632" w:name="_Toc247085883"/>
      <w:bookmarkStart w:id="633" w:name="_Toc144974865"/>
      <w:bookmarkStart w:id="634" w:name="_Toc5155"/>
      <w:bookmarkStart w:id="635" w:name="_Toc152042586"/>
      <w:bookmarkStart w:id="636" w:name="_Toc152045797"/>
      <w:bookmarkStart w:id="637" w:name="_Toc246996365"/>
      <w:bookmarkStart w:id="638" w:name="_Toc179632817"/>
      <w:bookmarkStart w:id="639" w:name="_Toc147994752"/>
      <w:bookmarkStart w:id="640" w:name="_Toc246997108"/>
      <w:r>
        <w:rPr>
          <w:rFonts w:hint="eastAsia" w:ascii="宋体" w:hAnsi="宋体" w:cs="宋体"/>
          <w:b/>
          <w:bCs/>
          <w:color w:val="auto"/>
          <w:szCs w:val="21"/>
          <w:highlight w:val="none"/>
        </w:rPr>
        <w:t>附表一：拟投入本项目的主要施工设备表</w:t>
      </w:r>
      <w:bookmarkEnd w:id="632"/>
      <w:bookmarkEnd w:id="633"/>
      <w:bookmarkEnd w:id="634"/>
      <w:bookmarkEnd w:id="635"/>
      <w:bookmarkEnd w:id="636"/>
      <w:bookmarkEnd w:id="637"/>
      <w:bookmarkEnd w:id="638"/>
      <w:bookmarkEnd w:id="639"/>
      <w:bookmarkEnd w:id="640"/>
    </w:p>
    <w:tbl>
      <w:tblPr>
        <w:tblStyle w:val="48"/>
        <w:tblW w:w="87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086"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761"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型号</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990"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72"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国别</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738"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制造</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212"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额定功率（kW）</w:t>
            </w:r>
          </w:p>
        </w:tc>
        <w:tc>
          <w:tcPr>
            <w:tcW w:w="87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生产</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能力</w:t>
            </w:r>
          </w:p>
        </w:tc>
        <w:tc>
          <w:tcPr>
            <w:tcW w:w="1055"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用于施工部位</w:t>
            </w:r>
          </w:p>
        </w:tc>
        <w:tc>
          <w:tcPr>
            <w:tcW w:w="691"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vAlign w:val="center"/>
          </w:tcPr>
          <w:p>
            <w:pPr>
              <w:spacing w:line="440" w:lineRule="exact"/>
              <w:jc w:val="center"/>
              <w:rPr>
                <w:rFonts w:ascii="宋体" w:hAnsi="宋体" w:cs="宋体"/>
                <w:color w:val="auto"/>
                <w:szCs w:val="21"/>
                <w:highlight w:val="none"/>
              </w:rPr>
            </w:pPr>
          </w:p>
        </w:tc>
        <w:tc>
          <w:tcPr>
            <w:tcW w:w="1086" w:type="dxa"/>
            <w:vAlign w:val="center"/>
          </w:tcPr>
          <w:p>
            <w:pPr>
              <w:spacing w:line="440" w:lineRule="exact"/>
              <w:jc w:val="center"/>
              <w:rPr>
                <w:rFonts w:ascii="宋体" w:hAnsi="宋体" w:cs="宋体"/>
                <w:color w:val="auto"/>
                <w:szCs w:val="21"/>
                <w:highlight w:val="none"/>
              </w:rPr>
            </w:pPr>
          </w:p>
        </w:tc>
        <w:tc>
          <w:tcPr>
            <w:tcW w:w="761" w:type="dxa"/>
            <w:vAlign w:val="center"/>
          </w:tcPr>
          <w:p>
            <w:pPr>
              <w:spacing w:line="440" w:lineRule="exact"/>
              <w:jc w:val="center"/>
              <w:rPr>
                <w:rFonts w:ascii="宋体" w:hAnsi="宋体" w:cs="宋体"/>
                <w:color w:val="auto"/>
                <w:szCs w:val="21"/>
                <w:highlight w:val="none"/>
              </w:rPr>
            </w:pPr>
          </w:p>
        </w:tc>
        <w:tc>
          <w:tcPr>
            <w:tcW w:w="990" w:type="dxa"/>
            <w:vAlign w:val="center"/>
          </w:tcPr>
          <w:p>
            <w:pPr>
              <w:spacing w:line="440" w:lineRule="exact"/>
              <w:jc w:val="center"/>
              <w:rPr>
                <w:rFonts w:ascii="宋体" w:hAnsi="宋体" w:cs="宋体"/>
                <w:color w:val="auto"/>
                <w:szCs w:val="21"/>
                <w:highlight w:val="none"/>
              </w:rPr>
            </w:pPr>
          </w:p>
        </w:tc>
        <w:tc>
          <w:tcPr>
            <w:tcW w:w="672" w:type="dxa"/>
            <w:vAlign w:val="center"/>
          </w:tcPr>
          <w:p>
            <w:pPr>
              <w:spacing w:line="440" w:lineRule="exact"/>
              <w:jc w:val="center"/>
              <w:rPr>
                <w:rFonts w:ascii="宋体" w:hAnsi="宋体" w:cs="宋体"/>
                <w:color w:val="auto"/>
                <w:szCs w:val="21"/>
                <w:highlight w:val="none"/>
              </w:rPr>
            </w:pPr>
          </w:p>
        </w:tc>
        <w:tc>
          <w:tcPr>
            <w:tcW w:w="738" w:type="dxa"/>
            <w:vAlign w:val="center"/>
          </w:tcPr>
          <w:p>
            <w:pPr>
              <w:spacing w:line="440" w:lineRule="exact"/>
              <w:jc w:val="center"/>
              <w:rPr>
                <w:rFonts w:ascii="宋体" w:hAnsi="宋体" w:cs="宋体"/>
                <w:color w:val="auto"/>
                <w:szCs w:val="21"/>
                <w:highlight w:val="none"/>
              </w:rPr>
            </w:pPr>
          </w:p>
        </w:tc>
        <w:tc>
          <w:tcPr>
            <w:tcW w:w="1212" w:type="dxa"/>
            <w:vAlign w:val="center"/>
          </w:tcPr>
          <w:p>
            <w:pPr>
              <w:spacing w:line="440" w:lineRule="exact"/>
              <w:jc w:val="center"/>
              <w:rPr>
                <w:rFonts w:ascii="宋体" w:hAnsi="宋体" w:cs="宋体"/>
                <w:color w:val="auto"/>
                <w:szCs w:val="21"/>
                <w:highlight w:val="none"/>
              </w:rPr>
            </w:pPr>
          </w:p>
        </w:tc>
        <w:tc>
          <w:tcPr>
            <w:tcW w:w="874" w:type="dxa"/>
            <w:vAlign w:val="center"/>
          </w:tcPr>
          <w:p>
            <w:pPr>
              <w:spacing w:line="440" w:lineRule="exact"/>
              <w:jc w:val="center"/>
              <w:rPr>
                <w:rFonts w:ascii="宋体" w:hAnsi="宋体" w:cs="宋体"/>
                <w:color w:val="auto"/>
                <w:szCs w:val="21"/>
                <w:highlight w:val="none"/>
              </w:rPr>
            </w:pPr>
          </w:p>
        </w:tc>
        <w:tc>
          <w:tcPr>
            <w:tcW w:w="1055" w:type="dxa"/>
            <w:vAlign w:val="center"/>
          </w:tcPr>
          <w:p>
            <w:pPr>
              <w:spacing w:line="440" w:lineRule="exact"/>
              <w:jc w:val="center"/>
              <w:rPr>
                <w:rFonts w:ascii="宋体" w:hAnsi="宋体" w:cs="宋体"/>
                <w:color w:val="auto"/>
                <w:szCs w:val="21"/>
                <w:highlight w:val="none"/>
              </w:rPr>
            </w:pPr>
          </w:p>
        </w:tc>
        <w:tc>
          <w:tcPr>
            <w:tcW w:w="691" w:type="dxa"/>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vAlign w:val="center"/>
          </w:tcPr>
          <w:p>
            <w:pPr>
              <w:spacing w:line="440" w:lineRule="exact"/>
              <w:jc w:val="center"/>
              <w:rPr>
                <w:rFonts w:ascii="宋体" w:hAnsi="宋体" w:cs="宋体"/>
                <w:color w:val="auto"/>
                <w:szCs w:val="21"/>
                <w:highlight w:val="none"/>
              </w:rPr>
            </w:pPr>
          </w:p>
        </w:tc>
        <w:tc>
          <w:tcPr>
            <w:tcW w:w="1086" w:type="dxa"/>
            <w:vAlign w:val="center"/>
          </w:tcPr>
          <w:p>
            <w:pPr>
              <w:spacing w:line="440" w:lineRule="exact"/>
              <w:jc w:val="center"/>
              <w:rPr>
                <w:rFonts w:ascii="宋体" w:hAnsi="宋体" w:cs="宋体"/>
                <w:color w:val="auto"/>
                <w:szCs w:val="21"/>
                <w:highlight w:val="none"/>
              </w:rPr>
            </w:pPr>
          </w:p>
        </w:tc>
        <w:tc>
          <w:tcPr>
            <w:tcW w:w="761" w:type="dxa"/>
            <w:vAlign w:val="center"/>
          </w:tcPr>
          <w:p>
            <w:pPr>
              <w:spacing w:line="440" w:lineRule="exact"/>
              <w:jc w:val="center"/>
              <w:rPr>
                <w:rFonts w:ascii="宋体" w:hAnsi="宋体" w:cs="宋体"/>
                <w:color w:val="auto"/>
                <w:szCs w:val="21"/>
                <w:highlight w:val="none"/>
              </w:rPr>
            </w:pPr>
          </w:p>
        </w:tc>
        <w:tc>
          <w:tcPr>
            <w:tcW w:w="990" w:type="dxa"/>
            <w:vAlign w:val="center"/>
          </w:tcPr>
          <w:p>
            <w:pPr>
              <w:spacing w:line="440" w:lineRule="exact"/>
              <w:jc w:val="center"/>
              <w:rPr>
                <w:rFonts w:ascii="宋体" w:hAnsi="宋体" w:cs="宋体"/>
                <w:color w:val="auto"/>
                <w:szCs w:val="21"/>
                <w:highlight w:val="none"/>
              </w:rPr>
            </w:pPr>
          </w:p>
        </w:tc>
        <w:tc>
          <w:tcPr>
            <w:tcW w:w="672" w:type="dxa"/>
            <w:vAlign w:val="center"/>
          </w:tcPr>
          <w:p>
            <w:pPr>
              <w:spacing w:line="440" w:lineRule="exact"/>
              <w:jc w:val="center"/>
              <w:rPr>
                <w:rFonts w:ascii="宋体" w:hAnsi="宋体" w:cs="宋体"/>
                <w:color w:val="auto"/>
                <w:szCs w:val="21"/>
                <w:highlight w:val="none"/>
              </w:rPr>
            </w:pPr>
          </w:p>
        </w:tc>
        <w:tc>
          <w:tcPr>
            <w:tcW w:w="738" w:type="dxa"/>
            <w:vAlign w:val="center"/>
          </w:tcPr>
          <w:p>
            <w:pPr>
              <w:spacing w:line="440" w:lineRule="exact"/>
              <w:jc w:val="center"/>
              <w:rPr>
                <w:rFonts w:ascii="宋体" w:hAnsi="宋体" w:cs="宋体"/>
                <w:color w:val="auto"/>
                <w:szCs w:val="21"/>
                <w:highlight w:val="none"/>
              </w:rPr>
            </w:pPr>
          </w:p>
        </w:tc>
        <w:tc>
          <w:tcPr>
            <w:tcW w:w="1212" w:type="dxa"/>
            <w:vAlign w:val="center"/>
          </w:tcPr>
          <w:p>
            <w:pPr>
              <w:spacing w:line="440" w:lineRule="exact"/>
              <w:jc w:val="center"/>
              <w:rPr>
                <w:rFonts w:ascii="宋体" w:hAnsi="宋体" w:cs="宋体"/>
                <w:color w:val="auto"/>
                <w:szCs w:val="21"/>
                <w:highlight w:val="none"/>
              </w:rPr>
            </w:pPr>
          </w:p>
        </w:tc>
        <w:tc>
          <w:tcPr>
            <w:tcW w:w="874" w:type="dxa"/>
            <w:vAlign w:val="center"/>
          </w:tcPr>
          <w:p>
            <w:pPr>
              <w:spacing w:line="440" w:lineRule="exact"/>
              <w:jc w:val="center"/>
              <w:rPr>
                <w:rFonts w:ascii="宋体" w:hAnsi="宋体" w:cs="宋体"/>
                <w:color w:val="auto"/>
                <w:szCs w:val="21"/>
                <w:highlight w:val="none"/>
              </w:rPr>
            </w:pPr>
          </w:p>
        </w:tc>
        <w:tc>
          <w:tcPr>
            <w:tcW w:w="1055" w:type="dxa"/>
            <w:vAlign w:val="center"/>
          </w:tcPr>
          <w:p>
            <w:pPr>
              <w:spacing w:line="440" w:lineRule="exact"/>
              <w:jc w:val="center"/>
              <w:rPr>
                <w:rFonts w:ascii="宋体" w:hAnsi="宋体" w:cs="宋体"/>
                <w:color w:val="auto"/>
                <w:szCs w:val="21"/>
                <w:highlight w:val="none"/>
              </w:rPr>
            </w:pPr>
          </w:p>
        </w:tc>
        <w:tc>
          <w:tcPr>
            <w:tcW w:w="691" w:type="dxa"/>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tcPr>
          <w:p>
            <w:pPr>
              <w:spacing w:line="440" w:lineRule="exact"/>
              <w:jc w:val="center"/>
              <w:rPr>
                <w:rFonts w:ascii="宋体" w:hAnsi="宋体" w:cs="宋体"/>
                <w:color w:val="auto"/>
                <w:szCs w:val="21"/>
                <w:highlight w:val="none"/>
              </w:rPr>
            </w:pPr>
          </w:p>
        </w:tc>
        <w:tc>
          <w:tcPr>
            <w:tcW w:w="1086" w:type="dxa"/>
          </w:tcPr>
          <w:p>
            <w:pPr>
              <w:spacing w:line="440" w:lineRule="exact"/>
              <w:jc w:val="center"/>
              <w:rPr>
                <w:rFonts w:ascii="宋体" w:hAnsi="宋体" w:cs="宋体"/>
                <w:color w:val="auto"/>
                <w:szCs w:val="21"/>
                <w:highlight w:val="none"/>
              </w:rPr>
            </w:pPr>
          </w:p>
        </w:tc>
        <w:tc>
          <w:tcPr>
            <w:tcW w:w="761" w:type="dxa"/>
          </w:tcPr>
          <w:p>
            <w:pPr>
              <w:spacing w:line="440" w:lineRule="exact"/>
              <w:jc w:val="center"/>
              <w:rPr>
                <w:rFonts w:ascii="宋体" w:hAnsi="宋体" w:cs="宋体"/>
                <w:color w:val="auto"/>
                <w:szCs w:val="21"/>
                <w:highlight w:val="none"/>
              </w:rPr>
            </w:pPr>
          </w:p>
        </w:tc>
        <w:tc>
          <w:tcPr>
            <w:tcW w:w="990"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c>
          <w:tcPr>
            <w:tcW w:w="738" w:type="dxa"/>
          </w:tcPr>
          <w:p>
            <w:pPr>
              <w:spacing w:line="440" w:lineRule="exact"/>
              <w:jc w:val="center"/>
              <w:rPr>
                <w:rFonts w:ascii="宋体" w:hAnsi="宋体" w:cs="宋体"/>
                <w:color w:val="auto"/>
                <w:szCs w:val="21"/>
                <w:highlight w:val="none"/>
              </w:rPr>
            </w:pPr>
          </w:p>
        </w:tc>
        <w:tc>
          <w:tcPr>
            <w:tcW w:w="1212" w:type="dxa"/>
          </w:tcPr>
          <w:p>
            <w:pPr>
              <w:spacing w:line="440" w:lineRule="exact"/>
              <w:jc w:val="center"/>
              <w:rPr>
                <w:rFonts w:ascii="宋体" w:hAnsi="宋体" w:cs="宋体"/>
                <w:color w:val="auto"/>
                <w:szCs w:val="21"/>
                <w:highlight w:val="none"/>
              </w:rPr>
            </w:pPr>
          </w:p>
        </w:tc>
        <w:tc>
          <w:tcPr>
            <w:tcW w:w="874" w:type="dxa"/>
          </w:tcPr>
          <w:p>
            <w:pPr>
              <w:spacing w:line="440" w:lineRule="exact"/>
              <w:jc w:val="center"/>
              <w:rPr>
                <w:rFonts w:ascii="宋体" w:hAnsi="宋体" w:cs="宋体"/>
                <w:color w:val="auto"/>
                <w:szCs w:val="21"/>
                <w:highlight w:val="none"/>
              </w:rPr>
            </w:pPr>
          </w:p>
        </w:tc>
        <w:tc>
          <w:tcPr>
            <w:tcW w:w="1055" w:type="dxa"/>
          </w:tcPr>
          <w:p>
            <w:pPr>
              <w:spacing w:line="440" w:lineRule="exact"/>
              <w:jc w:val="center"/>
              <w:rPr>
                <w:rFonts w:ascii="宋体" w:hAnsi="宋体" w:cs="宋体"/>
                <w:color w:val="auto"/>
                <w:szCs w:val="21"/>
                <w:highlight w:val="none"/>
              </w:rPr>
            </w:pPr>
          </w:p>
        </w:tc>
        <w:tc>
          <w:tcPr>
            <w:tcW w:w="691" w:type="dxa"/>
          </w:tcPr>
          <w:p>
            <w:pPr>
              <w:spacing w:line="440" w:lineRule="exact"/>
              <w:jc w:val="center"/>
              <w:rPr>
                <w:rFonts w:ascii="宋体" w:hAnsi="宋体" w:cs="宋体"/>
                <w:color w:val="auto"/>
                <w:szCs w:val="21"/>
                <w:highlight w:val="none"/>
              </w:rPr>
            </w:pPr>
          </w:p>
        </w:tc>
      </w:tr>
    </w:tbl>
    <w:p>
      <w:pPr>
        <w:spacing w:line="440" w:lineRule="exact"/>
        <w:rPr>
          <w:rFonts w:ascii="宋体" w:hAnsi="宋体" w:cs="宋体"/>
          <w:color w:val="auto"/>
          <w:sz w:val="20"/>
          <w:szCs w:val="20"/>
          <w:highlight w:val="none"/>
        </w:rPr>
      </w:pPr>
    </w:p>
    <w:p>
      <w:pPr>
        <w:spacing w:line="440" w:lineRule="exact"/>
        <w:outlineLvl w:val="2"/>
        <w:rPr>
          <w:rFonts w:ascii="宋体" w:hAnsi="宋体" w:cs="宋体"/>
          <w:b/>
          <w:bCs/>
          <w:color w:val="auto"/>
          <w:szCs w:val="21"/>
          <w:highlight w:val="none"/>
        </w:rPr>
      </w:pPr>
      <w:r>
        <w:rPr>
          <w:rFonts w:hint="eastAsia" w:ascii="宋体" w:hAnsi="宋体" w:cs="宋体"/>
          <w:color w:val="auto"/>
          <w:sz w:val="20"/>
          <w:szCs w:val="20"/>
          <w:highlight w:val="none"/>
        </w:rPr>
        <w:br w:type="page"/>
      </w:r>
      <w:bookmarkStart w:id="641" w:name="_Toc147994753"/>
      <w:bookmarkStart w:id="642" w:name="_Toc246997109"/>
      <w:bookmarkStart w:id="643" w:name="_Toc247085884"/>
      <w:bookmarkStart w:id="644" w:name="_Toc246996366"/>
      <w:bookmarkStart w:id="645" w:name="_Toc179632819"/>
      <w:bookmarkStart w:id="646" w:name="_Toc144974867"/>
      <w:bookmarkStart w:id="647" w:name="_Toc152042588"/>
      <w:bookmarkStart w:id="648" w:name="_Toc15235"/>
      <w:bookmarkStart w:id="649" w:name="_Toc152045799"/>
      <w:r>
        <w:rPr>
          <w:rFonts w:hint="eastAsia" w:ascii="宋体" w:hAnsi="宋体" w:cs="宋体"/>
          <w:b/>
          <w:bCs/>
          <w:color w:val="auto"/>
          <w:szCs w:val="21"/>
          <w:highlight w:val="none"/>
        </w:rPr>
        <w:t>附表二：劳动力计划表</w:t>
      </w:r>
      <w:bookmarkEnd w:id="641"/>
      <w:bookmarkEnd w:id="642"/>
      <w:bookmarkEnd w:id="643"/>
      <w:bookmarkEnd w:id="644"/>
      <w:bookmarkEnd w:id="645"/>
      <w:bookmarkEnd w:id="646"/>
      <w:bookmarkEnd w:id="647"/>
      <w:bookmarkEnd w:id="648"/>
      <w:bookmarkEnd w:id="649"/>
    </w:p>
    <w:p>
      <w:pPr>
        <w:spacing w:line="440" w:lineRule="exact"/>
        <w:ind w:right="200"/>
        <w:jc w:val="right"/>
        <w:rPr>
          <w:rFonts w:ascii="宋体" w:hAnsi="宋体" w:cs="宋体"/>
          <w:color w:val="auto"/>
          <w:szCs w:val="21"/>
          <w:highlight w:val="none"/>
        </w:rPr>
      </w:pPr>
      <w:r>
        <w:rPr>
          <w:rFonts w:hint="eastAsia" w:ascii="宋体" w:hAnsi="宋体" w:cs="宋体"/>
          <w:color w:val="auto"/>
          <w:szCs w:val="21"/>
          <w:highlight w:val="none"/>
        </w:rPr>
        <w:t>单位：人</w:t>
      </w:r>
    </w:p>
    <w:tbl>
      <w:tblPr>
        <w:tblStyle w:val="4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7693" w:type="dxa"/>
            <w:gridSpan w:val="7"/>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vAlign w:val="center"/>
          </w:tcPr>
          <w:p>
            <w:pPr>
              <w:spacing w:line="440" w:lineRule="exact"/>
              <w:jc w:val="center"/>
              <w:rPr>
                <w:rFonts w:ascii="宋体" w:hAnsi="宋体" w:cs="宋体"/>
                <w:color w:val="auto"/>
                <w:szCs w:val="21"/>
                <w:highlight w:val="none"/>
              </w:rPr>
            </w:pPr>
          </w:p>
        </w:tc>
        <w:tc>
          <w:tcPr>
            <w:tcW w:w="1304"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4" w:type="dxa"/>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vAlign w:val="center"/>
          </w:tcPr>
          <w:p>
            <w:pPr>
              <w:spacing w:line="440" w:lineRule="exact"/>
              <w:jc w:val="center"/>
              <w:rPr>
                <w:rFonts w:ascii="宋体" w:hAnsi="宋体" w:cs="宋体"/>
                <w:color w:val="auto"/>
                <w:szCs w:val="21"/>
                <w:highlight w:val="none"/>
              </w:rPr>
            </w:pPr>
          </w:p>
        </w:tc>
        <w:tc>
          <w:tcPr>
            <w:tcW w:w="1304"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5" w:type="dxa"/>
            <w:vAlign w:val="center"/>
          </w:tcPr>
          <w:p>
            <w:pPr>
              <w:spacing w:line="440" w:lineRule="exact"/>
              <w:jc w:val="center"/>
              <w:rPr>
                <w:rFonts w:ascii="宋体" w:hAnsi="宋体" w:cs="宋体"/>
                <w:color w:val="auto"/>
                <w:szCs w:val="21"/>
                <w:highlight w:val="none"/>
              </w:rPr>
            </w:pPr>
          </w:p>
        </w:tc>
        <w:tc>
          <w:tcPr>
            <w:tcW w:w="1064" w:type="dxa"/>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jc w:val="center"/>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tcPr>
          <w:p>
            <w:pPr>
              <w:spacing w:line="440" w:lineRule="exact"/>
              <w:rPr>
                <w:rFonts w:ascii="宋体" w:hAnsi="宋体" w:cs="宋体"/>
                <w:color w:val="auto"/>
                <w:szCs w:val="21"/>
                <w:highlight w:val="none"/>
              </w:rPr>
            </w:pPr>
          </w:p>
        </w:tc>
        <w:tc>
          <w:tcPr>
            <w:tcW w:w="1304"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5" w:type="dxa"/>
          </w:tcPr>
          <w:p>
            <w:pPr>
              <w:spacing w:line="440" w:lineRule="exact"/>
              <w:jc w:val="center"/>
              <w:rPr>
                <w:rFonts w:ascii="宋体" w:hAnsi="宋体" w:cs="宋体"/>
                <w:color w:val="auto"/>
                <w:szCs w:val="21"/>
                <w:highlight w:val="none"/>
              </w:rPr>
            </w:pPr>
          </w:p>
        </w:tc>
        <w:tc>
          <w:tcPr>
            <w:tcW w:w="1064" w:type="dxa"/>
          </w:tcPr>
          <w:p>
            <w:pPr>
              <w:spacing w:line="440" w:lineRule="exact"/>
              <w:jc w:val="center"/>
              <w:rPr>
                <w:rFonts w:ascii="宋体" w:hAnsi="宋体" w:cs="宋体"/>
                <w:color w:val="auto"/>
                <w:szCs w:val="21"/>
                <w:highlight w:val="none"/>
              </w:rPr>
            </w:pPr>
          </w:p>
        </w:tc>
      </w:tr>
    </w:tbl>
    <w:p>
      <w:pPr>
        <w:rPr>
          <w:rFonts w:ascii="宋体" w:hAnsi="宋体" w:cs="宋体"/>
          <w:color w:val="auto"/>
          <w:szCs w:val="20"/>
          <w:highlight w:val="none"/>
        </w:rPr>
      </w:pPr>
      <w:bookmarkStart w:id="650" w:name="_Toc246996367"/>
      <w:bookmarkStart w:id="651" w:name="_Toc246997110"/>
      <w:bookmarkStart w:id="652" w:name="_Toc179632820"/>
      <w:bookmarkStart w:id="653" w:name="_Toc152042589"/>
      <w:bookmarkStart w:id="654" w:name="_Toc152045800"/>
      <w:bookmarkStart w:id="655" w:name="_Toc144974868"/>
    </w:p>
    <w:p>
      <w:pPr>
        <w:rPr>
          <w:rFonts w:ascii="宋体" w:hAnsi="宋体" w:cs="宋体"/>
          <w:color w:val="auto"/>
          <w:szCs w:val="20"/>
          <w:highlight w:val="none"/>
        </w:rPr>
      </w:pPr>
    </w:p>
    <w:p>
      <w:pPr>
        <w:spacing w:line="440" w:lineRule="exact"/>
        <w:outlineLvl w:val="2"/>
        <w:rPr>
          <w:rFonts w:ascii="宋体" w:hAnsi="宋体" w:cs="宋体"/>
          <w:b/>
          <w:bCs/>
          <w:color w:val="auto"/>
          <w:szCs w:val="21"/>
          <w:highlight w:val="none"/>
        </w:rPr>
      </w:pPr>
      <w:bookmarkStart w:id="656" w:name="_Toc247085885"/>
      <w:r>
        <w:rPr>
          <w:rFonts w:hint="eastAsia" w:ascii="宋体" w:hAnsi="宋体" w:cs="宋体"/>
          <w:b/>
          <w:bCs/>
          <w:color w:val="auto"/>
          <w:szCs w:val="21"/>
          <w:highlight w:val="none"/>
        </w:rPr>
        <w:br w:type="page"/>
      </w:r>
      <w:bookmarkStart w:id="657" w:name="_Toc12744"/>
      <w:bookmarkStart w:id="658" w:name="_Toc147994754"/>
      <w:r>
        <w:rPr>
          <w:rFonts w:hint="eastAsia" w:ascii="宋体" w:hAnsi="宋体" w:cs="宋体"/>
          <w:b/>
          <w:bCs/>
          <w:color w:val="auto"/>
          <w:szCs w:val="21"/>
          <w:highlight w:val="none"/>
        </w:rPr>
        <w:t>附表三：进度计划</w:t>
      </w:r>
      <w:bookmarkEnd w:id="650"/>
      <w:bookmarkEnd w:id="651"/>
      <w:bookmarkEnd w:id="652"/>
      <w:bookmarkEnd w:id="653"/>
      <w:bookmarkEnd w:id="654"/>
      <w:bookmarkEnd w:id="655"/>
      <w:bookmarkEnd w:id="656"/>
      <w:bookmarkEnd w:id="657"/>
      <w:bookmarkEnd w:id="658"/>
    </w:p>
    <w:p>
      <w:pPr>
        <w:spacing w:line="440" w:lineRule="exact"/>
        <w:rPr>
          <w:rFonts w:ascii="宋体" w:hAnsi="宋体" w:cs="宋体"/>
          <w:color w:val="auto"/>
          <w:sz w:val="20"/>
          <w:szCs w:val="20"/>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投标人应递交施工进度网络图或施工进度表，说明按招标文件要求的计划工期进行施工的各个关键日期。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施工进度表可采用网络图或横道图表示。</w:t>
      </w:r>
    </w:p>
    <w:p>
      <w:pPr>
        <w:pStyle w:val="19"/>
        <w:rPr>
          <w:color w:val="auto"/>
          <w:highlight w:val="none"/>
        </w:rPr>
      </w:pPr>
    </w:p>
    <w:p>
      <w:pPr>
        <w:spacing w:line="440" w:lineRule="exact"/>
        <w:ind w:firstLine="400" w:firstLineChars="200"/>
        <w:jc w:val="center"/>
        <w:outlineLvl w:val="1"/>
        <w:rPr>
          <w:rFonts w:ascii="宋体" w:hAnsi="宋体" w:cs="宋体"/>
          <w:color w:val="auto"/>
          <w:szCs w:val="21"/>
          <w:highlight w:val="none"/>
        </w:rPr>
      </w:pPr>
      <w:r>
        <w:rPr>
          <w:rFonts w:hint="eastAsia" w:ascii="宋体" w:hAnsi="宋体" w:cs="宋体"/>
          <w:color w:val="auto"/>
          <w:sz w:val="20"/>
          <w:szCs w:val="20"/>
          <w:highlight w:val="none"/>
        </w:rPr>
        <w:br w:type="page"/>
      </w:r>
      <w:bookmarkStart w:id="659" w:name="_Toc246996369"/>
      <w:bookmarkStart w:id="660" w:name="_Toc152042592"/>
      <w:bookmarkStart w:id="661" w:name="_Toc147994755"/>
      <w:bookmarkStart w:id="662" w:name="_Toc179632823"/>
      <w:bookmarkStart w:id="663" w:name="_Toc152045803"/>
      <w:bookmarkStart w:id="664" w:name="_Toc107479278"/>
      <w:bookmarkStart w:id="665" w:name="_Toc247085887"/>
      <w:bookmarkStart w:id="666" w:name="_Toc246997112"/>
      <w:bookmarkStart w:id="667" w:name="_Toc144974871"/>
      <w:r>
        <w:rPr>
          <w:rFonts w:hint="eastAsia" w:ascii="宋体" w:hAnsi="宋体" w:cs="宋体"/>
          <w:b/>
          <w:bCs/>
          <w:color w:val="auto"/>
          <w:sz w:val="32"/>
          <w:szCs w:val="32"/>
          <w:highlight w:val="none"/>
        </w:rPr>
        <w:t>六、项目管理机构</w:t>
      </w:r>
      <w:bookmarkEnd w:id="659"/>
      <w:bookmarkEnd w:id="660"/>
      <w:bookmarkEnd w:id="661"/>
      <w:bookmarkEnd w:id="662"/>
      <w:bookmarkEnd w:id="663"/>
      <w:bookmarkEnd w:id="664"/>
      <w:bookmarkEnd w:id="665"/>
      <w:bookmarkEnd w:id="666"/>
      <w:bookmarkEnd w:id="667"/>
    </w:p>
    <w:p>
      <w:pPr>
        <w:pStyle w:val="5"/>
        <w:spacing w:before="0" w:after="0" w:line="360" w:lineRule="auto"/>
        <w:jc w:val="center"/>
        <w:rPr>
          <w:rFonts w:ascii="宋体" w:hAnsi="宋体" w:cs="宋体"/>
          <w:color w:val="auto"/>
          <w:highlight w:val="none"/>
        </w:rPr>
      </w:pPr>
      <w:bookmarkStart w:id="668" w:name="_Toc107479279"/>
      <w:bookmarkStart w:id="669" w:name="_Toc147994756"/>
      <w:bookmarkStart w:id="670" w:name="_Toc144974872"/>
      <w:bookmarkStart w:id="671" w:name="_Toc152042593"/>
      <w:bookmarkStart w:id="672" w:name="_Toc179632824"/>
      <w:bookmarkStart w:id="673" w:name="_Toc247085888"/>
      <w:bookmarkStart w:id="674" w:name="_Toc246996370"/>
      <w:bookmarkStart w:id="675" w:name="_Toc152045804"/>
      <w:bookmarkStart w:id="676" w:name="_Toc246997113"/>
      <w:r>
        <w:rPr>
          <w:rFonts w:hint="eastAsia" w:ascii="宋体" w:hAnsi="宋体" w:cs="宋体"/>
          <w:color w:val="auto"/>
          <w:highlight w:val="none"/>
        </w:rPr>
        <w:t>（一）项目管理机构组成表</w:t>
      </w:r>
      <w:bookmarkEnd w:id="668"/>
      <w:bookmarkEnd w:id="669"/>
      <w:bookmarkEnd w:id="670"/>
      <w:bookmarkEnd w:id="671"/>
      <w:bookmarkEnd w:id="672"/>
      <w:bookmarkEnd w:id="673"/>
      <w:bookmarkEnd w:id="674"/>
      <w:bookmarkEnd w:id="675"/>
      <w:bookmarkEnd w:id="676"/>
    </w:p>
    <w:tbl>
      <w:tblPr>
        <w:tblStyle w:val="48"/>
        <w:tblpPr w:leftFromText="180" w:rightFromText="180" w:vertAnchor="text" w:horzAnchor="page" w:tblpXSpec="center" w:tblpY="447"/>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1036"/>
        <w:gridCol w:w="220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47" w:type="dxa"/>
            <w:vMerge w:val="restart"/>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职务</w:t>
            </w:r>
          </w:p>
        </w:tc>
        <w:tc>
          <w:tcPr>
            <w:tcW w:w="721" w:type="dxa"/>
            <w:vMerge w:val="restart"/>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19" w:type="dxa"/>
            <w:vMerge w:val="restart"/>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5763" w:type="dxa"/>
            <w:gridSpan w:val="5"/>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672"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47" w:type="dxa"/>
            <w:vMerge w:val="continue"/>
            <w:vAlign w:val="center"/>
          </w:tcPr>
          <w:p>
            <w:pPr>
              <w:spacing w:line="440" w:lineRule="exact"/>
              <w:jc w:val="center"/>
              <w:rPr>
                <w:rFonts w:ascii="宋体" w:hAnsi="宋体" w:cs="宋体"/>
                <w:color w:val="auto"/>
                <w:szCs w:val="21"/>
                <w:highlight w:val="none"/>
              </w:rPr>
            </w:pPr>
          </w:p>
        </w:tc>
        <w:tc>
          <w:tcPr>
            <w:tcW w:w="721" w:type="dxa"/>
            <w:vMerge w:val="continue"/>
            <w:vAlign w:val="center"/>
          </w:tcPr>
          <w:p>
            <w:pPr>
              <w:spacing w:line="440" w:lineRule="exact"/>
              <w:jc w:val="center"/>
              <w:rPr>
                <w:rFonts w:ascii="宋体" w:hAnsi="宋体" w:cs="宋体"/>
                <w:color w:val="auto"/>
                <w:szCs w:val="21"/>
                <w:highlight w:val="none"/>
              </w:rPr>
            </w:pPr>
          </w:p>
        </w:tc>
        <w:tc>
          <w:tcPr>
            <w:tcW w:w="719" w:type="dxa"/>
            <w:vMerge w:val="continue"/>
            <w:vAlign w:val="center"/>
          </w:tcPr>
          <w:p>
            <w:pPr>
              <w:spacing w:line="440" w:lineRule="exact"/>
              <w:jc w:val="center"/>
              <w:rPr>
                <w:rFonts w:ascii="宋体" w:hAnsi="宋体" w:cs="宋体"/>
                <w:color w:val="auto"/>
                <w:szCs w:val="21"/>
                <w:highlight w:val="none"/>
              </w:rPr>
            </w:pPr>
          </w:p>
        </w:tc>
        <w:tc>
          <w:tcPr>
            <w:tcW w:w="1081"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719"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721"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1036"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2206"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养老保险</w:t>
            </w:r>
          </w:p>
        </w:tc>
        <w:tc>
          <w:tcPr>
            <w:tcW w:w="672" w:type="dxa"/>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440" w:lineRule="exact"/>
              <w:jc w:val="center"/>
              <w:rPr>
                <w:rFonts w:ascii="宋体" w:hAnsi="宋体" w:cs="宋体"/>
                <w:color w:val="auto"/>
                <w:szCs w:val="21"/>
                <w:highlight w:val="none"/>
              </w:rPr>
            </w:pPr>
          </w:p>
        </w:tc>
        <w:tc>
          <w:tcPr>
            <w:tcW w:w="721" w:type="dxa"/>
            <w:vAlign w:val="center"/>
          </w:tcPr>
          <w:p>
            <w:pPr>
              <w:spacing w:line="440" w:lineRule="exact"/>
              <w:jc w:val="center"/>
              <w:rPr>
                <w:rFonts w:ascii="宋体" w:hAnsi="宋体" w:cs="宋体"/>
                <w:color w:val="auto"/>
                <w:szCs w:val="21"/>
                <w:highlight w:val="none"/>
              </w:rPr>
            </w:pPr>
          </w:p>
        </w:tc>
        <w:tc>
          <w:tcPr>
            <w:tcW w:w="719" w:type="dxa"/>
            <w:vAlign w:val="center"/>
          </w:tcPr>
          <w:p>
            <w:pPr>
              <w:spacing w:line="440" w:lineRule="exact"/>
              <w:jc w:val="center"/>
              <w:rPr>
                <w:rFonts w:ascii="宋体" w:hAnsi="宋体" w:cs="宋体"/>
                <w:color w:val="auto"/>
                <w:szCs w:val="21"/>
                <w:highlight w:val="none"/>
              </w:rPr>
            </w:pPr>
          </w:p>
        </w:tc>
        <w:tc>
          <w:tcPr>
            <w:tcW w:w="1081" w:type="dxa"/>
            <w:vAlign w:val="center"/>
          </w:tcPr>
          <w:p>
            <w:pPr>
              <w:spacing w:line="440" w:lineRule="exact"/>
              <w:jc w:val="center"/>
              <w:rPr>
                <w:rFonts w:ascii="宋体" w:hAnsi="宋体" w:cs="宋体"/>
                <w:color w:val="auto"/>
                <w:szCs w:val="21"/>
                <w:highlight w:val="none"/>
              </w:rPr>
            </w:pPr>
          </w:p>
        </w:tc>
        <w:tc>
          <w:tcPr>
            <w:tcW w:w="719" w:type="dxa"/>
            <w:vAlign w:val="center"/>
          </w:tcPr>
          <w:p>
            <w:pPr>
              <w:spacing w:line="440" w:lineRule="exact"/>
              <w:jc w:val="center"/>
              <w:rPr>
                <w:rFonts w:ascii="宋体" w:hAnsi="宋体" w:cs="宋体"/>
                <w:color w:val="auto"/>
                <w:szCs w:val="21"/>
                <w:highlight w:val="none"/>
              </w:rPr>
            </w:pPr>
          </w:p>
        </w:tc>
        <w:tc>
          <w:tcPr>
            <w:tcW w:w="721" w:type="dxa"/>
            <w:vAlign w:val="center"/>
          </w:tcPr>
          <w:p>
            <w:pPr>
              <w:spacing w:line="440" w:lineRule="exact"/>
              <w:jc w:val="center"/>
              <w:rPr>
                <w:rFonts w:ascii="宋体" w:hAnsi="宋体" w:cs="宋体"/>
                <w:color w:val="auto"/>
                <w:szCs w:val="21"/>
                <w:highlight w:val="none"/>
              </w:rPr>
            </w:pPr>
          </w:p>
        </w:tc>
        <w:tc>
          <w:tcPr>
            <w:tcW w:w="1036" w:type="dxa"/>
            <w:vAlign w:val="center"/>
          </w:tcPr>
          <w:p>
            <w:pPr>
              <w:spacing w:line="440" w:lineRule="exact"/>
              <w:jc w:val="center"/>
              <w:rPr>
                <w:rFonts w:ascii="宋体" w:hAnsi="宋体" w:cs="宋体"/>
                <w:color w:val="auto"/>
                <w:szCs w:val="21"/>
                <w:highlight w:val="none"/>
              </w:rPr>
            </w:pPr>
          </w:p>
        </w:tc>
        <w:tc>
          <w:tcPr>
            <w:tcW w:w="2206" w:type="dxa"/>
            <w:vAlign w:val="center"/>
          </w:tcPr>
          <w:p>
            <w:pPr>
              <w:spacing w:line="440" w:lineRule="exact"/>
              <w:jc w:val="center"/>
              <w:rPr>
                <w:rFonts w:ascii="宋体" w:hAnsi="宋体" w:cs="宋体"/>
                <w:color w:val="auto"/>
                <w:szCs w:val="21"/>
                <w:highlight w:val="none"/>
              </w:rPr>
            </w:pPr>
          </w:p>
        </w:tc>
        <w:tc>
          <w:tcPr>
            <w:tcW w:w="672" w:type="dxa"/>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1081" w:type="dxa"/>
          </w:tcPr>
          <w:p>
            <w:pPr>
              <w:spacing w:line="440" w:lineRule="exact"/>
              <w:jc w:val="center"/>
              <w:rPr>
                <w:rFonts w:ascii="宋体" w:hAnsi="宋体" w:cs="宋体"/>
                <w:color w:val="auto"/>
                <w:szCs w:val="21"/>
                <w:highlight w:val="none"/>
              </w:rPr>
            </w:pPr>
          </w:p>
        </w:tc>
        <w:tc>
          <w:tcPr>
            <w:tcW w:w="719" w:type="dxa"/>
          </w:tcPr>
          <w:p>
            <w:pPr>
              <w:spacing w:line="440" w:lineRule="exact"/>
              <w:jc w:val="center"/>
              <w:rPr>
                <w:rFonts w:ascii="宋体" w:hAnsi="宋体" w:cs="宋体"/>
                <w:color w:val="auto"/>
                <w:szCs w:val="21"/>
                <w:highlight w:val="none"/>
              </w:rPr>
            </w:pPr>
          </w:p>
        </w:tc>
        <w:tc>
          <w:tcPr>
            <w:tcW w:w="721" w:type="dxa"/>
          </w:tcPr>
          <w:p>
            <w:pPr>
              <w:spacing w:line="440" w:lineRule="exact"/>
              <w:jc w:val="center"/>
              <w:rPr>
                <w:rFonts w:ascii="宋体" w:hAnsi="宋体" w:cs="宋体"/>
                <w:color w:val="auto"/>
                <w:szCs w:val="21"/>
                <w:highlight w:val="none"/>
              </w:rPr>
            </w:pPr>
          </w:p>
        </w:tc>
        <w:tc>
          <w:tcPr>
            <w:tcW w:w="1036" w:type="dxa"/>
          </w:tcPr>
          <w:p>
            <w:pPr>
              <w:spacing w:line="440" w:lineRule="exact"/>
              <w:jc w:val="center"/>
              <w:rPr>
                <w:rFonts w:ascii="宋体" w:hAnsi="宋体" w:cs="宋体"/>
                <w:color w:val="auto"/>
                <w:szCs w:val="21"/>
                <w:highlight w:val="none"/>
              </w:rPr>
            </w:pPr>
          </w:p>
        </w:tc>
        <w:tc>
          <w:tcPr>
            <w:tcW w:w="2206" w:type="dxa"/>
          </w:tcPr>
          <w:p>
            <w:pPr>
              <w:spacing w:line="440" w:lineRule="exact"/>
              <w:jc w:val="center"/>
              <w:rPr>
                <w:rFonts w:ascii="宋体" w:hAnsi="宋体" w:cs="宋体"/>
                <w:color w:val="auto"/>
                <w:szCs w:val="21"/>
                <w:highlight w:val="none"/>
              </w:rPr>
            </w:pPr>
          </w:p>
        </w:tc>
        <w:tc>
          <w:tcPr>
            <w:tcW w:w="672" w:type="dxa"/>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220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szCs w:val="21"/>
                <w:highlight w:val="none"/>
              </w:rPr>
            </w:pPr>
          </w:p>
        </w:tc>
      </w:tr>
    </w:tbl>
    <w:p>
      <w:pPr>
        <w:pStyle w:val="5"/>
        <w:spacing w:before="0" w:after="0" w:line="360" w:lineRule="auto"/>
        <w:jc w:val="center"/>
        <w:rPr>
          <w:rFonts w:ascii="宋体" w:hAnsi="宋体" w:cs="宋体"/>
          <w:color w:val="auto"/>
          <w:highlight w:val="none"/>
        </w:rPr>
      </w:pPr>
      <w:bookmarkStart w:id="677" w:name="_Toc246996371"/>
      <w:bookmarkStart w:id="678" w:name="_Toc179632825"/>
      <w:bookmarkStart w:id="679" w:name="_Toc152045805"/>
      <w:bookmarkStart w:id="680" w:name="_Toc152042594"/>
      <w:bookmarkStart w:id="681" w:name="_Toc246997114"/>
      <w:bookmarkStart w:id="682" w:name="_Toc247085889"/>
      <w:bookmarkStart w:id="683" w:name="_Toc144974873"/>
      <w:r>
        <w:rPr>
          <w:rFonts w:hint="eastAsia" w:ascii="宋体" w:hAnsi="宋体" w:cs="宋体"/>
          <w:color w:val="auto"/>
          <w:highlight w:val="none"/>
        </w:rPr>
        <w:br w:type="page"/>
      </w:r>
      <w:bookmarkEnd w:id="677"/>
      <w:bookmarkEnd w:id="678"/>
      <w:bookmarkEnd w:id="679"/>
      <w:bookmarkEnd w:id="680"/>
      <w:bookmarkEnd w:id="681"/>
      <w:bookmarkEnd w:id="682"/>
      <w:bookmarkEnd w:id="683"/>
      <w:bookmarkStart w:id="684" w:name="_Toc147994757"/>
      <w:bookmarkStart w:id="685" w:name="_Toc13678"/>
      <w:r>
        <w:rPr>
          <w:rFonts w:hint="eastAsia" w:ascii="宋体" w:hAnsi="宋体" w:cs="宋体"/>
          <w:color w:val="auto"/>
          <w:highlight w:val="none"/>
        </w:rPr>
        <w:t>（二）项目经理简历表</w:t>
      </w:r>
      <w:bookmarkEnd w:id="684"/>
      <w:bookmarkEnd w:id="685"/>
    </w:p>
    <w:p>
      <w:pPr>
        <w:topLinePunct/>
        <w:spacing w:line="440" w:lineRule="exact"/>
        <w:jc w:val="center"/>
        <w:rPr>
          <w:rFonts w:ascii="宋体" w:hAnsi="宋体" w:cs="宋体"/>
          <w:color w:val="auto"/>
          <w:sz w:val="23"/>
          <w:szCs w:val="23"/>
          <w:highlight w:val="none"/>
        </w:rPr>
      </w:pPr>
    </w:p>
    <w:tbl>
      <w:tblPr>
        <w:tblStyle w:val="48"/>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373"/>
        <w:gridCol w:w="748"/>
        <w:gridCol w:w="963"/>
        <w:gridCol w:w="1107"/>
        <w:gridCol w:w="737"/>
        <w:gridCol w:w="1311"/>
        <w:gridCol w:w="166"/>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33"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121" w:type="dxa"/>
            <w:gridSpan w:val="2"/>
            <w:vAlign w:val="center"/>
          </w:tcPr>
          <w:p>
            <w:pPr>
              <w:spacing w:line="440" w:lineRule="exact"/>
              <w:jc w:val="center"/>
              <w:rPr>
                <w:rFonts w:ascii="宋体" w:hAnsi="宋体" w:cs="宋体"/>
                <w:color w:val="auto"/>
                <w:szCs w:val="21"/>
                <w:highlight w:val="none"/>
              </w:rPr>
            </w:pPr>
          </w:p>
        </w:tc>
        <w:tc>
          <w:tcPr>
            <w:tcW w:w="963"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107" w:type="dxa"/>
            <w:vAlign w:val="center"/>
          </w:tcPr>
          <w:p>
            <w:pPr>
              <w:spacing w:line="440" w:lineRule="exact"/>
              <w:jc w:val="center"/>
              <w:rPr>
                <w:rFonts w:ascii="宋体" w:hAnsi="宋体" w:cs="宋体"/>
                <w:color w:val="auto"/>
                <w:szCs w:val="21"/>
                <w:highlight w:val="none"/>
              </w:rPr>
            </w:pPr>
          </w:p>
        </w:tc>
        <w:tc>
          <w:tcPr>
            <w:tcW w:w="2214" w:type="dxa"/>
            <w:gridSpan w:val="3"/>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2219" w:type="dxa"/>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33"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1121" w:type="dxa"/>
            <w:gridSpan w:val="2"/>
            <w:vAlign w:val="center"/>
          </w:tcPr>
          <w:p>
            <w:pPr>
              <w:spacing w:line="440" w:lineRule="exact"/>
              <w:jc w:val="center"/>
              <w:rPr>
                <w:rFonts w:ascii="宋体" w:hAnsi="宋体" w:cs="宋体"/>
                <w:color w:val="auto"/>
                <w:szCs w:val="21"/>
                <w:highlight w:val="none"/>
              </w:rPr>
            </w:pPr>
          </w:p>
        </w:tc>
        <w:tc>
          <w:tcPr>
            <w:tcW w:w="963"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107" w:type="dxa"/>
            <w:vAlign w:val="center"/>
          </w:tcPr>
          <w:p>
            <w:pPr>
              <w:spacing w:line="440" w:lineRule="exact"/>
              <w:jc w:val="center"/>
              <w:rPr>
                <w:rFonts w:ascii="宋体" w:hAnsi="宋体" w:cs="宋体"/>
                <w:color w:val="auto"/>
                <w:szCs w:val="21"/>
                <w:highlight w:val="none"/>
              </w:rPr>
            </w:pPr>
          </w:p>
        </w:tc>
        <w:tc>
          <w:tcPr>
            <w:tcW w:w="2214" w:type="dxa"/>
            <w:gridSpan w:val="3"/>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2219" w:type="dxa"/>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33"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毕业学校</w:t>
            </w:r>
          </w:p>
        </w:tc>
        <w:tc>
          <w:tcPr>
            <w:tcW w:w="7624" w:type="dxa"/>
            <w:gridSpan w:val="8"/>
          </w:tcPr>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57" w:type="dxa"/>
            <w:gridSpan w:val="9"/>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06" w:type="dxa"/>
            <w:gridSpan w:val="2"/>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时  间</w:t>
            </w:r>
          </w:p>
        </w:tc>
        <w:tc>
          <w:tcPr>
            <w:tcW w:w="3555" w:type="dxa"/>
            <w:gridSpan w:val="4"/>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311"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担任职务</w:t>
            </w:r>
          </w:p>
        </w:tc>
        <w:tc>
          <w:tcPr>
            <w:tcW w:w="2385" w:type="dxa"/>
            <w:gridSpan w:val="2"/>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606" w:type="dxa"/>
            <w:gridSpan w:val="2"/>
          </w:tcPr>
          <w:p>
            <w:pPr>
              <w:spacing w:line="440" w:lineRule="exact"/>
              <w:rPr>
                <w:rFonts w:ascii="宋体" w:hAnsi="宋体" w:cs="宋体"/>
                <w:color w:val="auto"/>
                <w:szCs w:val="21"/>
                <w:highlight w:val="none"/>
              </w:rPr>
            </w:pPr>
          </w:p>
        </w:tc>
        <w:tc>
          <w:tcPr>
            <w:tcW w:w="3555" w:type="dxa"/>
            <w:gridSpan w:val="4"/>
          </w:tcPr>
          <w:p>
            <w:pPr>
              <w:spacing w:line="440" w:lineRule="exact"/>
              <w:rPr>
                <w:rFonts w:ascii="宋体" w:hAnsi="宋体" w:cs="宋体"/>
                <w:color w:val="auto"/>
                <w:szCs w:val="21"/>
                <w:highlight w:val="none"/>
              </w:rPr>
            </w:pPr>
          </w:p>
        </w:tc>
        <w:tc>
          <w:tcPr>
            <w:tcW w:w="1311" w:type="dxa"/>
          </w:tcPr>
          <w:p>
            <w:pPr>
              <w:spacing w:line="440" w:lineRule="exact"/>
              <w:rPr>
                <w:rFonts w:ascii="宋体" w:hAnsi="宋体" w:cs="宋体"/>
                <w:color w:val="auto"/>
                <w:szCs w:val="21"/>
                <w:highlight w:val="none"/>
              </w:rPr>
            </w:pPr>
          </w:p>
        </w:tc>
        <w:tc>
          <w:tcPr>
            <w:tcW w:w="2385" w:type="dxa"/>
            <w:gridSpan w:val="2"/>
          </w:tcPr>
          <w:p>
            <w:pPr>
              <w:spacing w:line="440" w:lineRule="exact"/>
              <w:rPr>
                <w:rFonts w:ascii="宋体" w:hAnsi="宋体" w:cs="宋体"/>
                <w:color w:val="auto"/>
                <w:szCs w:val="21"/>
                <w:highlight w:val="none"/>
              </w:rPr>
            </w:pPr>
          </w:p>
        </w:tc>
      </w:tr>
    </w:tbl>
    <w:p>
      <w:pPr>
        <w:keepNext/>
        <w:keepLines/>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686" w:name="_Toc24089"/>
    </w:p>
    <w:p>
      <w:pPr>
        <w:snapToGrid w:val="0"/>
        <w:spacing w:line="360" w:lineRule="auto"/>
        <w:ind w:firstLine="565" w:firstLineChars="176"/>
        <w:jc w:val="center"/>
        <w:outlineLvl w:val="1"/>
        <w:rPr>
          <w:rFonts w:ascii="宋体" w:hAnsi="宋体" w:cs="宋体"/>
          <w:b/>
          <w:bCs/>
          <w:color w:val="auto"/>
          <w:sz w:val="32"/>
          <w:szCs w:val="32"/>
          <w:highlight w:val="none"/>
        </w:rPr>
      </w:pPr>
      <w:bookmarkStart w:id="687" w:name="_Toc147994758"/>
      <w:r>
        <w:rPr>
          <w:rFonts w:hint="eastAsia" w:ascii="宋体" w:hAnsi="宋体" w:cs="宋体"/>
          <w:b/>
          <w:bCs/>
          <w:color w:val="auto"/>
          <w:sz w:val="32"/>
          <w:szCs w:val="32"/>
          <w:highlight w:val="none"/>
        </w:rPr>
        <w:t>七、证明投标人资格的有关文件</w:t>
      </w:r>
      <w:bookmarkEnd w:id="686"/>
      <w:bookmarkEnd w:id="687"/>
    </w:p>
    <w:p>
      <w:pPr>
        <w:spacing w:line="360" w:lineRule="auto"/>
        <w:ind w:firstLine="470" w:firstLineChars="196"/>
        <w:jc w:val="center"/>
        <w:rPr>
          <w:rFonts w:ascii="宋体" w:hAnsi="宋体" w:cs="宋体"/>
          <w:b/>
          <w:bCs/>
          <w:color w:val="auto"/>
          <w:sz w:val="24"/>
          <w:highlight w:val="none"/>
        </w:rPr>
      </w:pPr>
      <w:r>
        <w:rPr>
          <w:rFonts w:hint="eastAsia" w:ascii="宋体" w:hAnsi="宋体" w:cs="宋体"/>
          <w:color w:val="auto"/>
          <w:sz w:val="24"/>
          <w:highlight w:val="none"/>
        </w:rPr>
        <w:t>详见 投标须知3.1.1中“证明投标人资格的有关文件”部分的要求。</w:t>
      </w:r>
    </w:p>
    <w:p>
      <w:pPr>
        <w:snapToGrid w:val="0"/>
        <w:spacing w:line="360" w:lineRule="auto"/>
        <w:ind w:firstLine="369" w:firstLineChars="176"/>
        <w:jc w:val="center"/>
        <w:outlineLvl w:val="1"/>
        <w:rPr>
          <w:rFonts w:ascii="宋体" w:hAnsi="宋体" w:cs="宋体"/>
          <w:color w:val="auto"/>
          <w:highlight w:val="none"/>
        </w:rPr>
      </w:pPr>
    </w:p>
    <w:sectPr>
      <w:pgSz w:w="11905" w:h="16838"/>
      <w:pgMar w:top="1440" w:right="1800" w:bottom="1440" w:left="180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4086CF-856D-49BA-BE6D-D6A50844F8AD}"/>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013A5F4-C082-47E2-80BB-36034956EB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G Times">
    <w:altName w:val="Segoe Print"/>
    <w:panose1 w:val="00000000000000000000"/>
    <w:charset w:val="00"/>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0" w:usb1="00000000" w:usb2="00000000" w:usb3="00000000" w:csb0="00000000" w:csb1="00000000"/>
    <w:embedRegular r:id="rId3" w:fontKey="{F3530401-4C7A-49EF-905B-FF72FA2EF205}"/>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4" w:fontKey="{2255768E-C8A6-4AD8-84A1-9005CB37D3F4}"/>
  </w:font>
  <w:font w:name="Segoe Print">
    <w:panose1 w:val="02000600000000000000"/>
    <w:charset w:val="00"/>
    <w:family w:val="auto"/>
    <w:pitch w:val="default"/>
    <w:sig w:usb0="0000028F" w:usb1="00000000" w:usb2="00000000" w:usb3="00000000" w:csb0="2000009F" w:csb1="47010000"/>
  </w:font>
  <w:font w:name="等线">
    <w:panose1 w:val="02010600030101010101"/>
    <w:charset w:val="00"/>
    <w:family w:val="auto"/>
    <w:pitch w:val="default"/>
    <w:sig w:usb0="00000000" w:usb1="00000000" w:usb2="00000000" w:usb3="00000000" w:csb0="00000000" w:csb1="00000000"/>
    <w:embedRegular r:id="rId5" w:fontKey="{C65A301C-7F2F-46BE-86DA-DEACFBA4855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26"/>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i91E0AAAAAIBAAAPAAAAAAAAAAEAIAAAACIAAABkcnMvZG93bnJldi54bWxQSwECFAAUAAAACACH&#10;TuJAFnZgwfMBAADBAwAADgAAAAAAAAABACAAAAAfAQAAZHJzL2Uyb0RvYy54bWxQSwUGAAAAAAYA&#10;BgBZAQAAhA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CC9BE"/>
    <w:multiLevelType w:val="multilevel"/>
    <w:tmpl w:val="A3ECC9BE"/>
    <w:lvl w:ilvl="0" w:tentative="0">
      <w:start w:val="1"/>
      <w:numFmt w:val="chineseCountingThousand"/>
      <w:pStyle w:val="10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CA3F78CD"/>
    <w:multiLevelType w:val="singleLevel"/>
    <w:tmpl w:val="CA3F78CD"/>
    <w:lvl w:ilvl="0" w:tentative="0">
      <w:start w:val="1"/>
      <w:numFmt w:val="decimal"/>
      <w:suff w:val="nothing"/>
      <w:lvlText w:val="（%1）"/>
      <w:lvlJc w:val="left"/>
    </w:lvl>
  </w:abstractNum>
  <w:abstractNum w:abstractNumId="2">
    <w:nsid w:val="E2AFCD6B"/>
    <w:multiLevelType w:val="singleLevel"/>
    <w:tmpl w:val="E2AFCD6B"/>
    <w:lvl w:ilvl="0" w:tentative="0">
      <w:start w:val="1"/>
      <w:numFmt w:val="decimal"/>
      <w:suff w:val="nothing"/>
      <w:lvlText w:val="%1、"/>
      <w:lvlJc w:val="left"/>
    </w:lvl>
  </w:abstractNum>
  <w:abstractNum w:abstractNumId="3">
    <w:nsid w:val="03171FDA"/>
    <w:multiLevelType w:val="multilevel"/>
    <w:tmpl w:val="03171FDA"/>
    <w:lvl w:ilvl="0" w:tentative="0">
      <w:start w:val="1"/>
      <w:numFmt w:val="decimal"/>
      <w:pStyle w:val="10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4">
    <w:nsid w:val="1C1457CA"/>
    <w:multiLevelType w:val="multilevel"/>
    <w:tmpl w:val="1C1457CA"/>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FC75CD2"/>
    <w:multiLevelType w:val="multilevel"/>
    <w:tmpl w:val="1FC75CD2"/>
    <w:lvl w:ilvl="0" w:tentative="0">
      <w:start w:val="1"/>
      <w:numFmt w:val="decimal"/>
      <w:lvlText w:val="(%1)"/>
      <w:lvlJc w:val="left"/>
      <w:pPr>
        <w:tabs>
          <w:tab w:val="left" w:pos="1905"/>
        </w:tabs>
        <w:ind w:left="1905" w:hanging="480"/>
      </w:pPr>
      <w:rPr>
        <w:rFonts w:hint="default"/>
      </w:rPr>
    </w:lvl>
    <w:lvl w:ilvl="1" w:tentative="0">
      <w:start w:val="1"/>
      <w:numFmt w:val="lowerLetter"/>
      <w:lvlText w:val="（%2）"/>
      <w:lvlJc w:val="left"/>
      <w:pPr>
        <w:tabs>
          <w:tab w:val="left" w:pos="2265"/>
        </w:tabs>
        <w:ind w:left="2265" w:hanging="420"/>
      </w:pPr>
      <w:rPr>
        <w:rFonts w:hint="eastAsia"/>
      </w:rPr>
    </w:lvl>
    <w:lvl w:ilvl="2" w:tentative="0">
      <w:start w:val="1"/>
      <w:numFmt w:val="lowerRoman"/>
      <w:lvlText w:val="(%3)"/>
      <w:lvlJc w:val="left"/>
      <w:pPr>
        <w:tabs>
          <w:tab w:val="left" w:pos="2685"/>
        </w:tabs>
        <w:ind w:left="3126" w:hanging="861"/>
      </w:pPr>
      <w:rPr>
        <w:rFonts w:hint="eastAsia" w:ascii="宋体" w:hAnsi="宋体" w:eastAsia="宋体"/>
      </w:rPr>
    </w:lvl>
    <w:lvl w:ilvl="3" w:tentative="0">
      <w:start w:val="1"/>
      <w:numFmt w:val="lowerLetter"/>
      <w:lvlText w:val="(%4)"/>
      <w:lvlJc w:val="left"/>
      <w:pPr>
        <w:tabs>
          <w:tab w:val="left" w:pos="3165"/>
        </w:tabs>
        <w:ind w:left="3165" w:hanging="480"/>
      </w:pPr>
      <w:rPr>
        <w:rFonts w:hint="default"/>
      </w:rPr>
    </w:lvl>
    <w:lvl w:ilvl="4" w:tentative="0">
      <w:start w:val="1"/>
      <w:numFmt w:val="chineseCountingThousand"/>
      <w:suff w:val="nothing"/>
      <w:lvlText w:val="%5、"/>
      <w:lvlJc w:val="left"/>
      <w:pPr>
        <w:ind w:left="3525" w:hanging="420"/>
      </w:pPr>
      <w:rPr>
        <w:rFonts w:hint="eastAsia"/>
      </w:rPr>
    </w:lvl>
    <w:lvl w:ilvl="5" w:tentative="0">
      <w:start w:val="1"/>
      <w:numFmt w:val="lowerRoman"/>
      <w:lvlText w:val="%6."/>
      <w:lvlJc w:val="right"/>
      <w:pPr>
        <w:tabs>
          <w:tab w:val="left" w:pos="3945"/>
        </w:tabs>
        <w:ind w:left="3945" w:hanging="420"/>
      </w:pPr>
      <w:rPr>
        <w:rFonts w:hint="eastAsia"/>
      </w:rPr>
    </w:lvl>
    <w:lvl w:ilvl="6" w:tentative="0">
      <w:start w:val="1"/>
      <w:numFmt w:val="decimal"/>
      <w:lvlText w:val="%7."/>
      <w:lvlJc w:val="left"/>
      <w:pPr>
        <w:tabs>
          <w:tab w:val="left" w:pos="4365"/>
        </w:tabs>
        <w:ind w:left="4365" w:hanging="420"/>
      </w:pPr>
      <w:rPr>
        <w:rFonts w:hint="eastAsia"/>
      </w:rPr>
    </w:lvl>
    <w:lvl w:ilvl="7" w:tentative="0">
      <w:start w:val="1"/>
      <w:numFmt w:val="lowerLetter"/>
      <w:lvlText w:val="%8)"/>
      <w:lvlJc w:val="left"/>
      <w:pPr>
        <w:tabs>
          <w:tab w:val="left" w:pos="4785"/>
        </w:tabs>
        <w:ind w:left="4785" w:hanging="420"/>
      </w:pPr>
      <w:rPr>
        <w:rFonts w:hint="eastAsia"/>
      </w:rPr>
    </w:lvl>
    <w:lvl w:ilvl="8" w:tentative="0">
      <w:start w:val="1"/>
      <w:numFmt w:val="lowerRoman"/>
      <w:lvlText w:val="%9."/>
      <w:lvlJc w:val="right"/>
      <w:pPr>
        <w:tabs>
          <w:tab w:val="left" w:pos="5205"/>
        </w:tabs>
        <w:ind w:left="5205" w:hanging="420"/>
      </w:pPr>
      <w:rPr>
        <w:rFonts w:hint="eastAsia"/>
      </w:rPr>
    </w:lvl>
  </w:abstractNum>
  <w:abstractNum w:abstractNumId="6">
    <w:nsid w:val="3BF14923"/>
    <w:multiLevelType w:val="multilevel"/>
    <w:tmpl w:val="3BF1492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F9C48FE"/>
    <w:multiLevelType w:val="multilevel"/>
    <w:tmpl w:val="4F9C48FE"/>
    <w:lvl w:ilvl="0" w:tentative="0">
      <w:start w:val="1"/>
      <w:numFmt w:val="decimal"/>
      <w:lvlText w:val="%1."/>
      <w:lvlJc w:val="left"/>
      <w:pPr>
        <w:ind w:left="885" w:hanging="420"/>
      </w:pPr>
      <w:rPr>
        <w:rFonts w:hint="eastAsia"/>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HorizontalSpacing w:val="210"/>
  <w:drawingGridVerticalSpacing w:val="-794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ODg3M2UyOTQ4ZDA3ZjlkZWZlMDhhMjVjOWY5ZDgifQ=="/>
  </w:docVars>
  <w:rsids>
    <w:rsidRoot w:val="00172A27"/>
    <w:rsid w:val="0004755B"/>
    <w:rsid w:val="00080C54"/>
    <w:rsid w:val="00091AB9"/>
    <w:rsid w:val="000B0FCE"/>
    <w:rsid w:val="000D575C"/>
    <w:rsid w:val="000E4ECB"/>
    <w:rsid w:val="000E529F"/>
    <w:rsid w:val="000E7B60"/>
    <w:rsid w:val="000F02B8"/>
    <w:rsid w:val="000F67FB"/>
    <w:rsid w:val="000F6C7F"/>
    <w:rsid w:val="00105104"/>
    <w:rsid w:val="001116A9"/>
    <w:rsid w:val="001472F4"/>
    <w:rsid w:val="001531C3"/>
    <w:rsid w:val="00172A27"/>
    <w:rsid w:val="001A3ED0"/>
    <w:rsid w:val="001B0B33"/>
    <w:rsid w:val="001C3C20"/>
    <w:rsid w:val="001C7F9A"/>
    <w:rsid w:val="001E17E3"/>
    <w:rsid w:val="00211B64"/>
    <w:rsid w:val="00215A55"/>
    <w:rsid w:val="00224348"/>
    <w:rsid w:val="00237601"/>
    <w:rsid w:val="002467A0"/>
    <w:rsid w:val="002D01BC"/>
    <w:rsid w:val="002D37C4"/>
    <w:rsid w:val="002E42C6"/>
    <w:rsid w:val="00320E0B"/>
    <w:rsid w:val="00343932"/>
    <w:rsid w:val="003600DD"/>
    <w:rsid w:val="003816CD"/>
    <w:rsid w:val="0039090E"/>
    <w:rsid w:val="003A2013"/>
    <w:rsid w:val="003B1A7D"/>
    <w:rsid w:val="003C40B8"/>
    <w:rsid w:val="003C4A81"/>
    <w:rsid w:val="003D137C"/>
    <w:rsid w:val="003D26A2"/>
    <w:rsid w:val="003E017E"/>
    <w:rsid w:val="003E22C4"/>
    <w:rsid w:val="003E683D"/>
    <w:rsid w:val="004668A5"/>
    <w:rsid w:val="00467949"/>
    <w:rsid w:val="00480F35"/>
    <w:rsid w:val="004A18A5"/>
    <w:rsid w:val="004D29FB"/>
    <w:rsid w:val="004D72ED"/>
    <w:rsid w:val="004E0880"/>
    <w:rsid w:val="004F4FE0"/>
    <w:rsid w:val="00514AA0"/>
    <w:rsid w:val="0052004D"/>
    <w:rsid w:val="00536409"/>
    <w:rsid w:val="00552BEE"/>
    <w:rsid w:val="005E33A4"/>
    <w:rsid w:val="005F4E81"/>
    <w:rsid w:val="00603404"/>
    <w:rsid w:val="00635294"/>
    <w:rsid w:val="0064294A"/>
    <w:rsid w:val="006451C2"/>
    <w:rsid w:val="00646858"/>
    <w:rsid w:val="006666BF"/>
    <w:rsid w:val="00686D7D"/>
    <w:rsid w:val="006C26AD"/>
    <w:rsid w:val="006C4BC7"/>
    <w:rsid w:val="006C5C44"/>
    <w:rsid w:val="006D3358"/>
    <w:rsid w:val="006D79C1"/>
    <w:rsid w:val="006F72FF"/>
    <w:rsid w:val="00713725"/>
    <w:rsid w:val="00723499"/>
    <w:rsid w:val="0072700A"/>
    <w:rsid w:val="00727362"/>
    <w:rsid w:val="0073421B"/>
    <w:rsid w:val="007A07EA"/>
    <w:rsid w:val="007D10E0"/>
    <w:rsid w:val="007E66BC"/>
    <w:rsid w:val="00830E7D"/>
    <w:rsid w:val="008437B2"/>
    <w:rsid w:val="0085791E"/>
    <w:rsid w:val="00857E7F"/>
    <w:rsid w:val="00863DB5"/>
    <w:rsid w:val="00871FCE"/>
    <w:rsid w:val="0087538F"/>
    <w:rsid w:val="00875F1B"/>
    <w:rsid w:val="00886AE9"/>
    <w:rsid w:val="00895AAE"/>
    <w:rsid w:val="00896F29"/>
    <w:rsid w:val="008A678C"/>
    <w:rsid w:val="008D4BAD"/>
    <w:rsid w:val="008D512D"/>
    <w:rsid w:val="008E7BF0"/>
    <w:rsid w:val="009107EB"/>
    <w:rsid w:val="00911F00"/>
    <w:rsid w:val="0092081E"/>
    <w:rsid w:val="00986394"/>
    <w:rsid w:val="009A3BB5"/>
    <w:rsid w:val="009A5F89"/>
    <w:rsid w:val="009C3A40"/>
    <w:rsid w:val="009C6720"/>
    <w:rsid w:val="009D0ABE"/>
    <w:rsid w:val="009E3A97"/>
    <w:rsid w:val="009E3AA2"/>
    <w:rsid w:val="00A200B1"/>
    <w:rsid w:val="00A20D0E"/>
    <w:rsid w:val="00A2258C"/>
    <w:rsid w:val="00A40F36"/>
    <w:rsid w:val="00A42FB9"/>
    <w:rsid w:val="00A4345A"/>
    <w:rsid w:val="00A50E85"/>
    <w:rsid w:val="00A73010"/>
    <w:rsid w:val="00A90D50"/>
    <w:rsid w:val="00A956A3"/>
    <w:rsid w:val="00AB0D74"/>
    <w:rsid w:val="00AB1C11"/>
    <w:rsid w:val="00AB48F9"/>
    <w:rsid w:val="00AC7C0E"/>
    <w:rsid w:val="00AD20D0"/>
    <w:rsid w:val="00AE30B0"/>
    <w:rsid w:val="00AE5B2B"/>
    <w:rsid w:val="00AF04B8"/>
    <w:rsid w:val="00AF1D7C"/>
    <w:rsid w:val="00AF6DB1"/>
    <w:rsid w:val="00B0446C"/>
    <w:rsid w:val="00B44ED5"/>
    <w:rsid w:val="00B535C3"/>
    <w:rsid w:val="00B542F5"/>
    <w:rsid w:val="00B67592"/>
    <w:rsid w:val="00B771A6"/>
    <w:rsid w:val="00BD380F"/>
    <w:rsid w:val="00BD6752"/>
    <w:rsid w:val="00BE510B"/>
    <w:rsid w:val="00C07995"/>
    <w:rsid w:val="00C11DA5"/>
    <w:rsid w:val="00C2467F"/>
    <w:rsid w:val="00C27952"/>
    <w:rsid w:val="00C3083D"/>
    <w:rsid w:val="00C37A0C"/>
    <w:rsid w:val="00C463F3"/>
    <w:rsid w:val="00C86106"/>
    <w:rsid w:val="00C9068D"/>
    <w:rsid w:val="00C94C9A"/>
    <w:rsid w:val="00C94F49"/>
    <w:rsid w:val="00C969EF"/>
    <w:rsid w:val="00CA48DB"/>
    <w:rsid w:val="00CF1E74"/>
    <w:rsid w:val="00D533F8"/>
    <w:rsid w:val="00D77664"/>
    <w:rsid w:val="00DC4C2F"/>
    <w:rsid w:val="00DD02DA"/>
    <w:rsid w:val="00DD3969"/>
    <w:rsid w:val="00DE7049"/>
    <w:rsid w:val="00DF7F36"/>
    <w:rsid w:val="00E1332B"/>
    <w:rsid w:val="00E30C74"/>
    <w:rsid w:val="00E725A4"/>
    <w:rsid w:val="00E730FE"/>
    <w:rsid w:val="00E86A31"/>
    <w:rsid w:val="00EA0633"/>
    <w:rsid w:val="00EA2E1F"/>
    <w:rsid w:val="00EA3D98"/>
    <w:rsid w:val="00F918E7"/>
    <w:rsid w:val="00FA5E9F"/>
    <w:rsid w:val="00FC7D3F"/>
    <w:rsid w:val="00FE5EAF"/>
    <w:rsid w:val="00FF07BF"/>
    <w:rsid w:val="01FC682A"/>
    <w:rsid w:val="02543ED8"/>
    <w:rsid w:val="02CD3CC1"/>
    <w:rsid w:val="0345114A"/>
    <w:rsid w:val="04F3453E"/>
    <w:rsid w:val="04F9622F"/>
    <w:rsid w:val="056621AB"/>
    <w:rsid w:val="05BF7299"/>
    <w:rsid w:val="07115108"/>
    <w:rsid w:val="0744374A"/>
    <w:rsid w:val="078B3D2E"/>
    <w:rsid w:val="07CE37D8"/>
    <w:rsid w:val="08316320"/>
    <w:rsid w:val="088F1BB9"/>
    <w:rsid w:val="091A4A65"/>
    <w:rsid w:val="093466CF"/>
    <w:rsid w:val="0963050A"/>
    <w:rsid w:val="0A0D081A"/>
    <w:rsid w:val="0A76067D"/>
    <w:rsid w:val="0B8E420A"/>
    <w:rsid w:val="0B9014CB"/>
    <w:rsid w:val="0CAF61E6"/>
    <w:rsid w:val="0CE135D1"/>
    <w:rsid w:val="0D3A0577"/>
    <w:rsid w:val="0DC657F3"/>
    <w:rsid w:val="0EE340C9"/>
    <w:rsid w:val="0F2C61BE"/>
    <w:rsid w:val="11417E22"/>
    <w:rsid w:val="12EF37E0"/>
    <w:rsid w:val="14002FC9"/>
    <w:rsid w:val="148503D4"/>
    <w:rsid w:val="14933FF1"/>
    <w:rsid w:val="14B2665B"/>
    <w:rsid w:val="15011794"/>
    <w:rsid w:val="15C060C7"/>
    <w:rsid w:val="16404211"/>
    <w:rsid w:val="16501B6B"/>
    <w:rsid w:val="1660389B"/>
    <w:rsid w:val="16FF5656"/>
    <w:rsid w:val="17437442"/>
    <w:rsid w:val="18285D67"/>
    <w:rsid w:val="1888270D"/>
    <w:rsid w:val="1A7A4C64"/>
    <w:rsid w:val="1AB13D43"/>
    <w:rsid w:val="1BE10491"/>
    <w:rsid w:val="1DC85359"/>
    <w:rsid w:val="1E8F3B25"/>
    <w:rsid w:val="1F9C421E"/>
    <w:rsid w:val="1FDF7BBC"/>
    <w:rsid w:val="208B3971"/>
    <w:rsid w:val="20C776B7"/>
    <w:rsid w:val="22CB2AE8"/>
    <w:rsid w:val="22F21AE4"/>
    <w:rsid w:val="24081AF6"/>
    <w:rsid w:val="25025786"/>
    <w:rsid w:val="25514332"/>
    <w:rsid w:val="25577CC0"/>
    <w:rsid w:val="25E21092"/>
    <w:rsid w:val="268C1D4C"/>
    <w:rsid w:val="26973678"/>
    <w:rsid w:val="2708207D"/>
    <w:rsid w:val="27927BA4"/>
    <w:rsid w:val="2853646A"/>
    <w:rsid w:val="28F06669"/>
    <w:rsid w:val="29326D42"/>
    <w:rsid w:val="294C6687"/>
    <w:rsid w:val="2C937431"/>
    <w:rsid w:val="2DDE562A"/>
    <w:rsid w:val="2E55676F"/>
    <w:rsid w:val="2E637F74"/>
    <w:rsid w:val="2ECD24E4"/>
    <w:rsid w:val="2F6577AE"/>
    <w:rsid w:val="30626E16"/>
    <w:rsid w:val="326005BE"/>
    <w:rsid w:val="326C67A3"/>
    <w:rsid w:val="33A77412"/>
    <w:rsid w:val="33E80C10"/>
    <w:rsid w:val="33F90927"/>
    <w:rsid w:val="34CF142B"/>
    <w:rsid w:val="357F5793"/>
    <w:rsid w:val="360034AA"/>
    <w:rsid w:val="36067E23"/>
    <w:rsid w:val="361C403D"/>
    <w:rsid w:val="36793422"/>
    <w:rsid w:val="37A213BD"/>
    <w:rsid w:val="385775AE"/>
    <w:rsid w:val="38822C36"/>
    <w:rsid w:val="388A14AF"/>
    <w:rsid w:val="38C70290"/>
    <w:rsid w:val="38CB1F42"/>
    <w:rsid w:val="38D5710E"/>
    <w:rsid w:val="393C46DE"/>
    <w:rsid w:val="3A212026"/>
    <w:rsid w:val="3A264E3F"/>
    <w:rsid w:val="3AE913FD"/>
    <w:rsid w:val="3B5C6117"/>
    <w:rsid w:val="3C302B73"/>
    <w:rsid w:val="3C9A4643"/>
    <w:rsid w:val="3D187B1B"/>
    <w:rsid w:val="3E065B14"/>
    <w:rsid w:val="3E4800C5"/>
    <w:rsid w:val="3F1D2139"/>
    <w:rsid w:val="3F9F277C"/>
    <w:rsid w:val="406E42EC"/>
    <w:rsid w:val="40FB1372"/>
    <w:rsid w:val="41E73751"/>
    <w:rsid w:val="43F416DB"/>
    <w:rsid w:val="440F6AD6"/>
    <w:rsid w:val="44A1052F"/>
    <w:rsid w:val="44B73042"/>
    <w:rsid w:val="44F24225"/>
    <w:rsid w:val="460B0BBC"/>
    <w:rsid w:val="47776091"/>
    <w:rsid w:val="47AA76FA"/>
    <w:rsid w:val="487B7866"/>
    <w:rsid w:val="4891692F"/>
    <w:rsid w:val="48D40F43"/>
    <w:rsid w:val="48D564FE"/>
    <w:rsid w:val="4A5E7CA6"/>
    <w:rsid w:val="4A7012AC"/>
    <w:rsid w:val="4AC24D5B"/>
    <w:rsid w:val="4B9060D9"/>
    <w:rsid w:val="4CA44F5B"/>
    <w:rsid w:val="4CCC3C6F"/>
    <w:rsid w:val="4D202EFB"/>
    <w:rsid w:val="4D5142B4"/>
    <w:rsid w:val="4D986247"/>
    <w:rsid w:val="4DEA0723"/>
    <w:rsid w:val="4E6D436E"/>
    <w:rsid w:val="4E796078"/>
    <w:rsid w:val="4E82320E"/>
    <w:rsid w:val="4F0A2D96"/>
    <w:rsid w:val="4FD712A8"/>
    <w:rsid w:val="50D545B1"/>
    <w:rsid w:val="539A4AC7"/>
    <w:rsid w:val="54F9581D"/>
    <w:rsid w:val="55D532B1"/>
    <w:rsid w:val="5621327D"/>
    <w:rsid w:val="56291E9F"/>
    <w:rsid w:val="56532A88"/>
    <w:rsid w:val="569767C2"/>
    <w:rsid w:val="57BC3BA7"/>
    <w:rsid w:val="58425DBE"/>
    <w:rsid w:val="58784238"/>
    <w:rsid w:val="58B55EFF"/>
    <w:rsid w:val="58E22B34"/>
    <w:rsid w:val="5A20384C"/>
    <w:rsid w:val="5A2F7D04"/>
    <w:rsid w:val="5B5E04BE"/>
    <w:rsid w:val="5B626E73"/>
    <w:rsid w:val="5BF427C9"/>
    <w:rsid w:val="5C403D31"/>
    <w:rsid w:val="5E196ABE"/>
    <w:rsid w:val="5F5A7948"/>
    <w:rsid w:val="5FA1250E"/>
    <w:rsid w:val="5FB664EF"/>
    <w:rsid w:val="5FFD2205"/>
    <w:rsid w:val="60312964"/>
    <w:rsid w:val="60865149"/>
    <w:rsid w:val="609C1CC5"/>
    <w:rsid w:val="612C422D"/>
    <w:rsid w:val="613B0ED7"/>
    <w:rsid w:val="62E51590"/>
    <w:rsid w:val="62F35FA1"/>
    <w:rsid w:val="631C0FF8"/>
    <w:rsid w:val="63472010"/>
    <w:rsid w:val="646A4041"/>
    <w:rsid w:val="64AD3AFB"/>
    <w:rsid w:val="657D709E"/>
    <w:rsid w:val="661C0477"/>
    <w:rsid w:val="66296926"/>
    <w:rsid w:val="68375C78"/>
    <w:rsid w:val="683A6DFA"/>
    <w:rsid w:val="68435C53"/>
    <w:rsid w:val="692D60EF"/>
    <w:rsid w:val="69DD0AFF"/>
    <w:rsid w:val="6AA74CEB"/>
    <w:rsid w:val="6AD72F14"/>
    <w:rsid w:val="6B182A49"/>
    <w:rsid w:val="6B5B46E4"/>
    <w:rsid w:val="6B714AD3"/>
    <w:rsid w:val="6C180827"/>
    <w:rsid w:val="6D29113D"/>
    <w:rsid w:val="6D6A52C6"/>
    <w:rsid w:val="6D97659C"/>
    <w:rsid w:val="6E2742FD"/>
    <w:rsid w:val="6E412F98"/>
    <w:rsid w:val="6EEA28A8"/>
    <w:rsid w:val="6FCB1235"/>
    <w:rsid w:val="72090662"/>
    <w:rsid w:val="72967E2F"/>
    <w:rsid w:val="72D75410"/>
    <w:rsid w:val="73FC49E8"/>
    <w:rsid w:val="7457083A"/>
    <w:rsid w:val="747E3711"/>
    <w:rsid w:val="74DB00EA"/>
    <w:rsid w:val="78987A6D"/>
    <w:rsid w:val="7A043D26"/>
    <w:rsid w:val="7A5275FA"/>
    <w:rsid w:val="7ADC0206"/>
    <w:rsid w:val="7AE6354E"/>
    <w:rsid w:val="7B751F30"/>
    <w:rsid w:val="7BD70000"/>
    <w:rsid w:val="7C18774A"/>
    <w:rsid w:val="7DD71AD1"/>
    <w:rsid w:val="7DF46BC6"/>
    <w:rsid w:val="7EEF6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5" w:lineRule="auto"/>
      <w:outlineLvl w:val="2"/>
    </w:pPr>
    <w:rPr>
      <w:b/>
      <w:bCs/>
      <w:sz w:val="32"/>
      <w:szCs w:val="32"/>
    </w:rPr>
  </w:style>
  <w:style w:type="paragraph" w:styleId="6">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spacing w:before="280" w:after="290" w:line="372" w:lineRule="auto"/>
      <w:outlineLvl w:val="4"/>
    </w:pPr>
    <w:rPr>
      <w:b/>
      <w:sz w:val="28"/>
    </w:rPr>
  </w:style>
  <w:style w:type="paragraph" w:styleId="8">
    <w:name w:val="heading 6"/>
    <w:basedOn w:val="1"/>
    <w:next w:val="1"/>
    <w:link w:val="5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6"/>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5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5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unhideWhenUsed/>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b/>
      <w:bCs/>
      <w:sz w:val="32"/>
      <w:szCs w:val="32"/>
    </w:rPr>
  </w:style>
  <w:style w:type="paragraph" w:styleId="12">
    <w:name w:val="annotation subject"/>
    <w:basedOn w:val="13"/>
    <w:next w:val="13"/>
    <w:link w:val="72"/>
    <w:qFormat/>
    <w:uiPriority w:val="0"/>
    <w:rPr>
      <w:b/>
      <w:bCs/>
    </w:rPr>
  </w:style>
  <w:style w:type="paragraph" w:styleId="13">
    <w:name w:val="annotation text"/>
    <w:basedOn w:val="1"/>
    <w:link w:val="60"/>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qFormat/>
    <w:uiPriority w:val="0"/>
    <w:pPr>
      <w:ind w:firstLine="420" w:firstLineChars="200"/>
    </w:pPr>
  </w:style>
  <w:style w:type="paragraph" w:styleId="16">
    <w:name w:val="Document Map"/>
    <w:basedOn w:val="1"/>
    <w:link w:val="59"/>
    <w:qFormat/>
    <w:uiPriority w:val="0"/>
    <w:pPr>
      <w:shd w:val="clear" w:color="auto" w:fill="000080"/>
    </w:pPr>
  </w:style>
  <w:style w:type="paragraph" w:styleId="17">
    <w:name w:val="Body Text 3"/>
    <w:basedOn w:val="1"/>
    <w:link w:val="61"/>
    <w:qFormat/>
    <w:uiPriority w:val="0"/>
    <w:rPr>
      <w:rFonts w:ascii="宋体"/>
      <w:sz w:val="24"/>
      <w:szCs w:val="20"/>
    </w:rPr>
  </w:style>
  <w:style w:type="paragraph" w:styleId="18">
    <w:name w:val="Body Text"/>
    <w:basedOn w:val="1"/>
    <w:next w:val="1"/>
    <w:link w:val="62"/>
    <w:qFormat/>
    <w:uiPriority w:val="0"/>
    <w:pPr>
      <w:widowControl/>
      <w:wordWrap w:val="0"/>
      <w:topLinePunct/>
      <w:adjustRightInd w:val="0"/>
      <w:snapToGrid w:val="0"/>
      <w:spacing w:afterLines="50" w:line="360" w:lineRule="auto"/>
      <w:ind w:firstLine="480" w:firstLineChars="200"/>
    </w:pPr>
    <w:rPr>
      <w:rFonts w:hint="eastAsia" w:ascii="宋体" w:hAnsi="宋体"/>
      <w:kern w:val="0"/>
      <w:sz w:val="24"/>
      <w:szCs w:val="20"/>
    </w:rPr>
  </w:style>
  <w:style w:type="paragraph" w:styleId="19">
    <w:name w:val="Body Text Indent"/>
    <w:basedOn w:val="1"/>
    <w:next w:val="1"/>
    <w:qFormat/>
    <w:uiPriority w:val="0"/>
    <w:pPr>
      <w:spacing w:after="120"/>
      <w:ind w:left="420" w:leftChars="200"/>
    </w:p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63"/>
    <w:qFormat/>
    <w:uiPriority w:val="0"/>
    <w:rPr>
      <w:rFonts w:ascii="Courier New" w:hAnsi="Courier New"/>
      <w:szCs w:val="20"/>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64"/>
    <w:qFormat/>
    <w:uiPriority w:val="0"/>
    <w:rPr>
      <w:sz w:val="24"/>
      <w:szCs w:val="20"/>
    </w:rPr>
  </w:style>
  <w:style w:type="paragraph" w:styleId="25">
    <w:name w:val="Balloon Text"/>
    <w:basedOn w:val="1"/>
    <w:link w:val="65"/>
    <w:qFormat/>
    <w:uiPriority w:val="0"/>
    <w:rPr>
      <w:sz w:val="18"/>
      <w:szCs w:val="18"/>
    </w:rPr>
  </w:style>
  <w:style w:type="paragraph" w:styleId="26">
    <w:name w:val="footer"/>
    <w:basedOn w:val="1"/>
    <w:link w:val="66"/>
    <w:qFormat/>
    <w:uiPriority w:val="0"/>
    <w:pPr>
      <w:tabs>
        <w:tab w:val="center" w:pos="4153"/>
        <w:tab w:val="right" w:pos="8306"/>
      </w:tabs>
      <w:snapToGrid w:val="0"/>
      <w:jc w:val="left"/>
    </w:pPr>
    <w:rPr>
      <w:sz w:val="18"/>
      <w:szCs w:val="18"/>
    </w:rPr>
  </w:style>
  <w:style w:type="paragraph" w:styleId="27">
    <w:name w:val="header"/>
    <w:basedOn w:val="1"/>
    <w:next w:val="1"/>
    <w:link w:val="67"/>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0"/>
    <w:pPr>
      <w:ind w:left="630"/>
      <w:jc w:val="left"/>
    </w:pPr>
    <w:rPr>
      <w:sz w:val="18"/>
      <w:szCs w:val="18"/>
    </w:rPr>
  </w:style>
  <w:style w:type="paragraph" w:styleId="30">
    <w:name w:val="Subtitle"/>
    <w:basedOn w:val="1"/>
    <w:link w:val="68"/>
    <w:qFormat/>
    <w:uiPriority w:val="0"/>
    <w:pPr>
      <w:spacing w:before="240" w:after="60" w:line="312" w:lineRule="auto"/>
      <w:jc w:val="center"/>
      <w:outlineLvl w:val="1"/>
    </w:pPr>
    <w:rPr>
      <w:rFonts w:ascii="Arial" w:hAnsi="Arial"/>
      <w:b/>
      <w:kern w:val="28"/>
      <w:sz w:val="32"/>
    </w:rPr>
  </w:style>
  <w:style w:type="paragraph" w:styleId="31">
    <w:name w:val="footnote text"/>
    <w:basedOn w:val="1"/>
    <w:qFormat/>
    <w:uiPriority w:val="0"/>
    <w:rPr>
      <w:sz w:val="20"/>
      <w:szCs w:val="20"/>
    </w:rPr>
  </w:style>
  <w:style w:type="paragraph" w:styleId="32">
    <w:name w:val="toc 6"/>
    <w:basedOn w:val="1"/>
    <w:next w:val="1"/>
    <w:qFormat/>
    <w:uiPriority w:val="0"/>
    <w:pPr>
      <w:ind w:left="1050"/>
      <w:jc w:val="left"/>
    </w:pPr>
    <w:rPr>
      <w:sz w:val="18"/>
      <w:szCs w:val="18"/>
    </w:rPr>
  </w:style>
  <w:style w:type="paragraph" w:styleId="33">
    <w:name w:val="Body Text Indent 3"/>
    <w:basedOn w:val="1"/>
    <w:link w:val="69"/>
    <w:qFormat/>
    <w:uiPriority w:val="0"/>
    <w:pPr>
      <w:spacing w:after="120"/>
      <w:ind w:left="420" w:leftChars="200"/>
    </w:pPr>
    <w:rPr>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70"/>
    <w:qFormat/>
    <w:uiPriority w:val="0"/>
    <w:pPr>
      <w:spacing w:after="120" w:line="480" w:lineRule="auto"/>
    </w:pPr>
  </w:style>
  <w:style w:type="paragraph" w:styleId="38">
    <w:name w:val="HTML Preformatted"/>
    <w:basedOn w:val="1"/>
    <w:link w:val="71"/>
    <w:qFormat/>
    <w:uiPriority w:val="0"/>
    <w:rPr>
      <w:rFonts w:ascii="Courier New" w:hAnsi="Courier New"/>
      <w:sz w:val="20"/>
    </w:rPr>
  </w:style>
  <w:style w:type="paragraph" w:styleId="39">
    <w:name w:val="Normal (Web)"/>
    <w:basedOn w:val="1"/>
    <w:qFormat/>
    <w:uiPriority w:val="0"/>
    <w:rPr>
      <w:sz w:val="24"/>
    </w:rPr>
  </w:style>
  <w:style w:type="paragraph" w:styleId="40">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0"/>
    <w:rPr>
      <w:color w:val="954F72"/>
      <w:u w:val="single"/>
    </w:rPr>
  </w:style>
  <w:style w:type="character" w:styleId="45">
    <w:name w:val="Hyperlink"/>
    <w:qFormat/>
    <w:uiPriority w:val="99"/>
    <w:rPr>
      <w:color w:val="0563C1"/>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0">
    <w:name w:val="标题 1 Char"/>
    <w:link w:val="3"/>
    <w:qFormat/>
    <w:uiPriority w:val="0"/>
    <w:rPr>
      <w:rFonts w:eastAsia="宋体"/>
      <w:b/>
      <w:bCs/>
      <w:kern w:val="44"/>
      <w:sz w:val="44"/>
      <w:szCs w:val="44"/>
      <w:lang w:val="en-US" w:eastAsia="zh-CN" w:bidi="ar-SA"/>
    </w:rPr>
  </w:style>
  <w:style w:type="character" w:customStyle="1" w:styleId="51">
    <w:name w:val="标题 2 Char"/>
    <w:link w:val="4"/>
    <w:qFormat/>
    <w:uiPriority w:val="0"/>
    <w:rPr>
      <w:rFonts w:ascii="Arial" w:hAnsi="Arial" w:eastAsia="黑体"/>
      <w:b/>
      <w:bCs/>
      <w:sz w:val="32"/>
      <w:szCs w:val="32"/>
    </w:rPr>
  </w:style>
  <w:style w:type="character" w:customStyle="1" w:styleId="52">
    <w:name w:val="标题 3 Char"/>
    <w:link w:val="5"/>
    <w:qFormat/>
    <w:uiPriority w:val="0"/>
    <w:rPr>
      <w:rFonts w:hint="eastAsia" w:ascii="宋体" w:hAnsi="宋体" w:eastAsia="宋体" w:cs="宋体"/>
      <w:b/>
      <w:sz w:val="24"/>
    </w:rPr>
  </w:style>
  <w:style w:type="character" w:customStyle="1" w:styleId="53">
    <w:name w:val="标题 4 Char"/>
    <w:link w:val="6"/>
    <w:qFormat/>
    <w:uiPriority w:val="0"/>
    <w:rPr>
      <w:rFonts w:ascii="Arial" w:hAnsi="Arial" w:cs="Arial"/>
      <w:kern w:val="2"/>
      <w:sz w:val="28"/>
      <w:szCs w:val="22"/>
    </w:rPr>
  </w:style>
  <w:style w:type="character" w:customStyle="1" w:styleId="54">
    <w:name w:val="标题 5 Char"/>
    <w:link w:val="7"/>
    <w:qFormat/>
    <w:uiPriority w:val="0"/>
    <w:rPr>
      <w:rFonts w:hint="eastAsia" w:ascii="宋体" w:hAnsi="宋体" w:eastAsia="宋体" w:cs="宋体"/>
      <w:b/>
      <w:bCs/>
      <w:sz w:val="28"/>
      <w:szCs w:val="28"/>
    </w:rPr>
  </w:style>
  <w:style w:type="character" w:customStyle="1" w:styleId="55">
    <w:name w:val="标题 6 Char"/>
    <w:link w:val="8"/>
    <w:qFormat/>
    <w:uiPriority w:val="0"/>
    <w:rPr>
      <w:rFonts w:hint="default" w:ascii="Calibri Light" w:hAnsi="Calibri Light" w:eastAsia="Calibri Light" w:cs="Calibri Light"/>
      <w:b/>
      <w:bCs/>
      <w:sz w:val="24"/>
    </w:rPr>
  </w:style>
  <w:style w:type="character" w:customStyle="1" w:styleId="56">
    <w:name w:val="标题 7 Char"/>
    <w:link w:val="9"/>
    <w:qFormat/>
    <w:uiPriority w:val="0"/>
    <w:rPr>
      <w:rFonts w:hint="default" w:ascii="CG Times" w:hAnsi="CG Times" w:eastAsia="CG Times" w:cs="CG Times"/>
      <w:sz w:val="22"/>
      <w:lang w:val="en-US"/>
    </w:rPr>
  </w:style>
  <w:style w:type="character" w:customStyle="1" w:styleId="57">
    <w:name w:val="标题 8 Char"/>
    <w:link w:val="10"/>
    <w:qFormat/>
    <w:uiPriority w:val="0"/>
    <w:rPr>
      <w:rFonts w:hint="default" w:ascii="CG Times" w:hAnsi="CG Times" w:eastAsia="CG Times" w:cs="CG Times"/>
      <w:sz w:val="22"/>
      <w:lang w:val="en-US"/>
    </w:rPr>
  </w:style>
  <w:style w:type="character" w:customStyle="1" w:styleId="58">
    <w:name w:val="标题 9 Char"/>
    <w:link w:val="11"/>
    <w:qFormat/>
    <w:uiPriority w:val="0"/>
    <w:rPr>
      <w:rFonts w:hint="default" w:ascii="CG Times" w:hAnsi="CG Times" w:eastAsia="CG Times" w:cs="CG Times"/>
      <w:b/>
      <w:smallCaps/>
      <w:sz w:val="21"/>
      <w:lang w:val="en-US"/>
    </w:rPr>
  </w:style>
  <w:style w:type="character" w:customStyle="1" w:styleId="59">
    <w:name w:val="文档结构图 Char"/>
    <w:link w:val="16"/>
    <w:qFormat/>
    <w:uiPriority w:val="0"/>
    <w:rPr>
      <w:rFonts w:hint="eastAsia" w:ascii="宋体" w:hAnsi="宋体" w:eastAsia="宋体" w:cs="宋体"/>
      <w:sz w:val="24"/>
    </w:rPr>
  </w:style>
  <w:style w:type="character" w:customStyle="1" w:styleId="60">
    <w:name w:val="批注文字 Char"/>
    <w:link w:val="13"/>
    <w:qFormat/>
    <w:uiPriority w:val="0"/>
    <w:rPr>
      <w:rFonts w:eastAsia="宋体"/>
      <w:kern w:val="2"/>
      <w:sz w:val="21"/>
      <w:szCs w:val="24"/>
      <w:lang w:val="en-US" w:eastAsia="zh-CN" w:bidi="ar-SA"/>
    </w:rPr>
  </w:style>
  <w:style w:type="character" w:customStyle="1" w:styleId="61">
    <w:name w:val="正文文本 3 Char"/>
    <w:link w:val="17"/>
    <w:qFormat/>
    <w:uiPriority w:val="0"/>
    <w:rPr>
      <w:rFonts w:hint="eastAsia" w:ascii="宋体" w:hAnsi="宋体" w:eastAsia="宋体" w:cs="宋体"/>
      <w:sz w:val="16"/>
      <w:szCs w:val="16"/>
    </w:rPr>
  </w:style>
  <w:style w:type="character" w:customStyle="1" w:styleId="62">
    <w:name w:val="正文文本 Char"/>
    <w:link w:val="18"/>
    <w:qFormat/>
    <w:uiPriority w:val="0"/>
    <w:rPr>
      <w:rFonts w:hint="eastAsia" w:ascii="宋体" w:hAnsi="宋体" w:eastAsia="宋体" w:cs="宋体"/>
      <w:sz w:val="24"/>
    </w:rPr>
  </w:style>
  <w:style w:type="character" w:customStyle="1" w:styleId="63">
    <w:name w:val="纯文本 Char"/>
    <w:link w:val="22"/>
    <w:qFormat/>
    <w:uiPriority w:val="0"/>
    <w:rPr>
      <w:rFonts w:hint="eastAsia" w:ascii="宋体" w:hAnsi="宋体" w:eastAsia="宋体" w:cs="宋体"/>
      <w:kern w:val="2"/>
      <w:sz w:val="24"/>
      <w:szCs w:val="24"/>
    </w:rPr>
  </w:style>
  <w:style w:type="character" w:customStyle="1" w:styleId="64">
    <w:name w:val="日期 Char"/>
    <w:link w:val="24"/>
    <w:qFormat/>
    <w:uiPriority w:val="0"/>
    <w:rPr>
      <w:rFonts w:hint="eastAsia" w:ascii="宋体" w:hAnsi="宋体" w:eastAsia="宋体" w:cs="宋体"/>
      <w:sz w:val="24"/>
    </w:rPr>
  </w:style>
  <w:style w:type="character" w:customStyle="1" w:styleId="65">
    <w:name w:val="批注框文本 Char"/>
    <w:link w:val="25"/>
    <w:qFormat/>
    <w:uiPriority w:val="0"/>
    <w:rPr>
      <w:rFonts w:hint="eastAsia" w:ascii="宋体" w:hAnsi="宋体" w:eastAsia="宋体" w:cs="宋体"/>
      <w:sz w:val="18"/>
      <w:szCs w:val="18"/>
    </w:rPr>
  </w:style>
  <w:style w:type="character" w:customStyle="1" w:styleId="66">
    <w:name w:val="页脚 Char"/>
    <w:link w:val="26"/>
    <w:qFormat/>
    <w:uiPriority w:val="0"/>
    <w:rPr>
      <w:rFonts w:hint="eastAsia" w:ascii="宋体" w:hAnsi="宋体" w:eastAsia="宋体" w:cs="宋体"/>
      <w:kern w:val="2"/>
      <w:sz w:val="18"/>
      <w:szCs w:val="18"/>
    </w:rPr>
  </w:style>
  <w:style w:type="character" w:customStyle="1" w:styleId="67">
    <w:name w:val="页眉 Char"/>
    <w:link w:val="27"/>
    <w:qFormat/>
    <w:uiPriority w:val="0"/>
    <w:rPr>
      <w:rFonts w:hint="eastAsia" w:ascii="宋体" w:hAnsi="宋体" w:eastAsia="宋体" w:cs="宋体"/>
      <w:sz w:val="18"/>
      <w:szCs w:val="18"/>
    </w:rPr>
  </w:style>
  <w:style w:type="character" w:customStyle="1" w:styleId="68">
    <w:name w:val="副标题 Char"/>
    <w:link w:val="30"/>
    <w:qFormat/>
    <w:uiPriority w:val="0"/>
    <w:rPr>
      <w:rFonts w:hint="eastAsia" w:ascii="宋体" w:hAnsi="宋体" w:eastAsia="宋体" w:cs="宋体"/>
      <w:b/>
      <w:bCs/>
      <w:kern w:val="28"/>
      <w:sz w:val="24"/>
      <w:szCs w:val="32"/>
    </w:rPr>
  </w:style>
  <w:style w:type="character" w:customStyle="1" w:styleId="69">
    <w:name w:val="正文文本缩进 3 Char"/>
    <w:link w:val="33"/>
    <w:qFormat/>
    <w:uiPriority w:val="0"/>
    <w:rPr>
      <w:rFonts w:hint="eastAsia" w:ascii="宋体" w:hAnsi="宋体" w:eastAsia="宋体" w:cs="宋体"/>
      <w:sz w:val="16"/>
      <w:szCs w:val="16"/>
    </w:rPr>
  </w:style>
  <w:style w:type="character" w:customStyle="1" w:styleId="70">
    <w:name w:val="正文文本 2 Char"/>
    <w:link w:val="37"/>
    <w:qFormat/>
    <w:uiPriority w:val="0"/>
    <w:rPr>
      <w:rFonts w:hint="eastAsia" w:ascii="宋体" w:hAnsi="宋体" w:eastAsia="宋体" w:cs="宋体"/>
      <w:sz w:val="24"/>
    </w:rPr>
  </w:style>
  <w:style w:type="character" w:customStyle="1" w:styleId="71">
    <w:name w:val="HTML 预设格式 Char"/>
    <w:link w:val="38"/>
    <w:qFormat/>
    <w:uiPriority w:val="0"/>
    <w:rPr>
      <w:rFonts w:hint="eastAsia" w:ascii="宋体" w:hAnsi="宋体" w:eastAsia="宋体" w:cs="宋体"/>
      <w:sz w:val="24"/>
    </w:rPr>
  </w:style>
  <w:style w:type="character" w:customStyle="1" w:styleId="72">
    <w:name w:val="批注主题 Char"/>
    <w:link w:val="12"/>
    <w:qFormat/>
    <w:uiPriority w:val="0"/>
    <w:rPr>
      <w:rFonts w:hint="eastAsia" w:ascii="宋体" w:hAnsi="宋体" w:eastAsia="宋体" w:cs="宋体"/>
      <w:b/>
      <w:bCs/>
      <w:sz w:val="24"/>
    </w:rPr>
  </w:style>
  <w:style w:type="character" w:customStyle="1" w:styleId="73">
    <w:name w:val="标题 2 字符1"/>
    <w:qFormat/>
    <w:uiPriority w:val="0"/>
    <w:rPr>
      <w:rFonts w:ascii="Arial" w:hAnsi="Arial" w:eastAsia="黑体"/>
      <w:b/>
      <w:bCs/>
      <w:kern w:val="2"/>
      <w:sz w:val="32"/>
      <w:szCs w:val="32"/>
      <w:lang w:val="en-US" w:eastAsia="zh-CN" w:bidi="ar-SA"/>
    </w:rPr>
  </w:style>
  <w:style w:type="character" w:customStyle="1" w:styleId="74">
    <w:name w:val="Char Char7"/>
    <w:qFormat/>
    <w:uiPriority w:val="0"/>
    <w:rPr>
      <w:rFonts w:ascii="Arial" w:hAnsi="Arial" w:eastAsia="黑体"/>
      <w:b/>
      <w:bCs/>
      <w:kern w:val="2"/>
      <w:sz w:val="32"/>
      <w:szCs w:val="32"/>
      <w:lang w:val="en-US" w:eastAsia="zh-CN" w:bidi="ar-SA"/>
    </w:rPr>
  </w:style>
  <w:style w:type="character" w:customStyle="1" w:styleId="75">
    <w:name w:val="Char Char8"/>
    <w:qFormat/>
    <w:uiPriority w:val="0"/>
    <w:rPr>
      <w:rFonts w:ascii="Arial" w:hAnsi="Arial" w:eastAsia="黑体"/>
      <w:b/>
      <w:bCs/>
      <w:kern w:val="2"/>
      <w:sz w:val="32"/>
      <w:szCs w:val="32"/>
      <w:lang w:val="en-US" w:eastAsia="zh-CN" w:bidi="ar-SA"/>
    </w:rPr>
  </w:style>
  <w:style w:type="character" w:customStyle="1" w:styleId="76">
    <w:name w:val="font161"/>
    <w:qFormat/>
    <w:uiPriority w:val="0"/>
    <w:rPr>
      <w:b/>
      <w:bCs/>
      <w:sz w:val="32"/>
      <w:szCs w:val="32"/>
    </w:rPr>
  </w:style>
  <w:style w:type="character" w:customStyle="1" w:styleId="77">
    <w:name w:val="Char Char"/>
    <w:qFormat/>
    <w:uiPriority w:val="0"/>
    <w:rPr>
      <w:rFonts w:ascii="Arial" w:hAnsi="Arial" w:eastAsia="黑体"/>
      <w:b/>
      <w:bCs/>
      <w:kern w:val="2"/>
      <w:sz w:val="32"/>
      <w:szCs w:val="32"/>
      <w:lang w:val="en-US" w:eastAsia="zh-CN" w:bidi="ar-SA"/>
    </w:rPr>
  </w:style>
  <w:style w:type="character" w:customStyle="1" w:styleId="78">
    <w:name w:val="Char Char2"/>
    <w:qFormat/>
    <w:uiPriority w:val="0"/>
    <w:rPr>
      <w:rFonts w:eastAsia="宋体"/>
      <w:kern w:val="2"/>
      <w:sz w:val="21"/>
      <w:szCs w:val="24"/>
      <w:lang w:val="en-US" w:eastAsia="zh-CN" w:bidi="ar-SA"/>
    </w:rPr>
  </w:style>
  <w:style w:type="paragraph" w:customStyle="1" w:styleId="7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0">
    <w:name w:val="1"/>
    <w:basedOn w:val="1"/>
    <w:next w:val="1"/>
    <w:qFormat/>
    <w:uiPriority w:val="0"/>
  </w:style>
  <w:style w:type="paragraph" w:customStyle="1" w:styleId="8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样式1"/>
    <w:basedOn w:val="5"/>
    <w:qFormat/>
    <w:uiPriority w:val="0"/>
    <w:rPr>
      <w:rFonts w:eastAsia="Arial"/>
    </w:rPr>
  </w:style>
  <w:style w:type="paragraph" w:customStyle="1" w:styleId="84">
    <w:name w:val="样式2"/>
    <w:basedOn w:val="5"/>
    <w:qFormat/>
    <w:uiPriority w:val="0"/>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样式4"/>
    <w:basedOn w:val="5"/>
    <w:qFormat/>
    <w:uiPriority w:val="0"/>
    <w:rPr>
      <w:rFonts w:eastAsia="Arial"/>
    </w:rPr>
  </w:style>
  <w:style w:type="paragraph" w:customStyle="1" w:styleId="87">
    <w:name w:val="Table Paragraph"/>
    <w:basedOn w:val="1"/>
    <w:qFormat/>
    <w:uiPriority w:val="1"/>
    <w:rPr>
      <w:rFonts w:ascii="宋体" w:hAnsi="宋体" w:cs="宋体"/>
    </w:rPr>
  </w:style>
  <w:style w:type="paragraph" w:customStyle="1" w:styleId="88">
    <w:name w:val="表格"/>
    <w:basedOn w:val="1"/>
    <w:qFormat/>
    <w:uiPriority w:val="0"/>
    <w:pPr>
      <w:jc w:val="center"/>
      <w:textAlignment w:val="center"/>
    </w:pPr>
    <w:rPr>
      <w:rFonts w:ascii="华文细黑" w:hAnsi="华文细黑"/>
      <w:kern w:val="0"/>
      <w:szCs w:val="20"/>
    </w:rPr>
  </w:style>
  <w:style w:type="paragraph" w:customStyle="1" w:styleId="89">
    <w:name w:val="样式3"/>
    <w:basedOn w:val="5"/>
    <w:qFormat/>
    <w:uiPriority w:val="0"/>
    <w:rPr>
      <w:rFonts w:eastAsia="Arial"/>
    </w:rPr>
  </w:style>
  <w:style w:type="paragraph" w:customStyle="1" w:styleId="90">
    <w:name w:val="Char"/>
    <w:basedOn w:val="1"/>
    <w:qFormat/>
    <w:uiPriority w:val="0"/>
    <w:pPr>
      <w:tabs>
        <w:tab w:val="left" w:pos="360"/>
      </w:tabs>
    </w:pPr>
    <w:rPr>
      <w:sz w:val="24"/>
    </w:rPr>
  </w:style>
  <w:style w:type="paragraph" w:customStyle="1" w:styleId="9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92">
    <w:name w:val="Body text|1"/>
    <w:basedOn w:val="1"/>
    <w:qFormat/>
    <w:uiPriority w:val="0"/>
    <w:pPr>
      <w:spacing w:line="420" w:lineRule="auto"/>
      <w:ind w:firstLine="400"/>
    </w:pPr>
    <w:rPr>
      <w:rFonts w:ascii="宋体" w:hAnsi="宋体" w:cs="宋体"/>
      <w:sz w:val="22"/>
      <w:szCs w:val="22"/>
      <w:lang w:val="zh-TW" w:eastAsia="zh-TW" w:bidi="zh-TW"/>
    </w:rPr>
  </w:style>
  <w:style w:type="paragraph" w:customStyle="1" w:styleId="93">
    <w:name w:val="TOC 标题2"/>
    <w:basedOn w:val="3"/>
    <w:next w:val="1"/>
    <w:qFormat/>
    <w:uiPriority w:val="0"/>
    <w:pPr>
      <w:spacing w:before="260" w:after="260" w:line="412" w:lineRule="auto"/>
      <w:jc w:val="center"/>
    </w:pPr>
    <w:rPr>
      <w:rFonts w:hint="eastAsia" w:ascii="宋体" w:hAnsi="宋体"/>
      <w:sz w:val="36"/>
    </w:rPr>
  </w:style>
  <w:style w:type="character" w:customStyle="1" w:styleId="94">
    <w:name w:val="样式1 字符"/>
    <w:qFormat/>
    <w:uiPriority w:val="0"/>
    <w:rPr>
      <w:rFonts w:hint="default" w:ascii="Calibri" w:hAnsi="Calibri" w:cs="Calibri"/>
      <w:b/>
      <w:kern w:val="44"/>
      <w:sz w:val="30"/>
      <w:szCs w:val="22"/>
    </w:rPr>
  </w:style>
  <w:style w:type="paragraph" w:customStyle="1" w:styleId="95">
    <w:name w:val="TOC 标题1"/>
    <w:basedOn w:val="3"/>
    <w:next w:val="1"/>
    <w:qFormat/>
    <w:uiPriority w:val="0"/>
    <w:pPr>
      <w:keepNext w:val="0"/>
      <w:keepLines w:val="0"/>
      <w:widowControl/>
      <w:adjustRightInd w:val="0"/>
      <w:snapToGrid w:val="0"/>
      <w:spacing w:before="240" w:after="0" w:line="256" w:lineRule="auto"/>
      <w:jc w:val="left"/>
    </w:pPr>
    <w:rPr>
      <w:rFonts w:ascii="Calibri Light" w:hAnsi="Calibri Light"/>
      <w:color w:val="2E75B5"/>
      <w:kern w:val="0"/>
      <w:sz w:val="32"/>
      <w:szCs w:val="32"/>
    </w:rPr>
  </w:style>
  <w:style w:type="character" w:customStyle="1" w:styleId="96">
    <w:name w:val="msoplaceholdertext"/>
    <w:qFormat/>
    <w:uiPriority w:val="0"/>
    <w:rPr>
      <w:color w:val="808080"/>
    </w:rPr>
  </w:style>
  <w:style w:type="paragraph" w:customStyle="1" w:styleId="97">
    <w:name w:val="列表段落1"/>
    <w:basedOn w:val="1"/>
    <w:next w:val="1"/>
    <w:qFormat/>
    <w:uiPriority w:val="0"/>
    <w:pPr>
      <w:widowControl/>
      <w:wordWrap w:val="0"/>
      <w:topLinePunct/>
      <w:adjustRightInd w:val="0"/>
      <w:snapToGrid w:val="0"/>
      <w:spacing w:afterLines="50" w:line="360" w:lineRule="auto"/>
      <w:ind w:firstLine="420" w:firstLineChars="200"/>
    </w:pPr>
    <w:rPr>
      <w:rFonts w:hint="eastAsia" w:ascii="宋体" w:hAnsi="宋体"/>
      <w:kern w:val="0"/>
      <w:sz w:val="24"/>
      <w:szCs w:val="20"/>
    </w:rPr>
  </w:style>
  <w:style w:type="paragraph" w:customStyle="1" w:styleId="98">
    <w:name w:val="table"/>
    <w:basedOn w:val="1"/>
    <w:qFormat/>
    <w:uiPriority w:val="0"/>
    <w:pPr>
      <w:widowControl/>
      <w:adjustRightInd w:val="0"/>
      <w:snapToGrid w:val="0"/>
      <w:jc w:val="left"/>
    </w:pPr>
    <w:rPr>
      <w:rFonts w:hint="eastAsia" w:ascii="宋体" w:hAnsi="Calibri"/>
      <w:sz w:val="24"/>
      <w:szCs w:val="22"/>
    </w:rPr>
  </w:style>
  <w:style w:type="character" w:customStyle="1" w:styleId="99">
    <w:name w:val="refer-count"/>
    <w:qFormat/>
    <w:uiPriority w:val="0"/>
  </w:style>
  <w:style w:type="character" w:customStyle="1" w:styleId="100">
    <w:name w:val="未处理的提及3"/>
    <w:qFormat/>
    <w:uiPriority w:val="0"/>
    <w:rPr>
      <w:color w:val="605E5C"/>
      <w:shd w:val="clear" w:color="auto" w:fill="E1DFDD"/>
    </w:rPr>
  </w:style>
  <w:style w:type="character" w:customStyle="1" w:styleId="101">
    <w:name w:val="content"/>
    <w:qFormat/>
    <w:uiPriority w:val="0"/>
  </w:style>
  <w:style w:type="character" w:customStyle="1" w:styleId="102">
    <w:name w:val="search-in-page-highlight-item"/>
    <w:qFormat/>
    <w:uiPriority w:val="0"/>
  </w:style>
  <w:style w:type="character" w:customStyle="1" w:styleId="103">
    <w:name w:val="未处理的提及1"/>
    <w:qFormat/>
    <w:uiPriority w:val="0"/>
    <w:rPr>
      <w:color w:val="605E5C"/>
      <w:shd w:val="clear" w:color="auto" w:fill="E1DFDD"/>
    </w:rPr>
  </w:style>
  <w:style w:type="character" w:customStyle="1" w:styleId="104">
    <w:name w:val="law-parenthese"/>
    <w:qFormat/>
    <w:uiPriority w:val="0"/>
  </w:style>
  <w:style w:type="character" w:customStyle="1" w:styleId="105">
    <w:name w:val="search-in-page-highlight-wrapper"/>
    <w:qFormat/>
    <w:uiPriority w:val="0"/>
  </w:style>
  <w:style w:type="character" w:customStyle="1" w:styleId="106">
    <w:name w:val="未处理的提及2"/>
    <w:qFormat/>
    <w:uiPriority w:val="0"/>
    <w:rPr>
      <w:color w:val="605E5C"/>
      <w:shd w:val="clear" w:color="auto" w:fill="E1DFDD"/>
    </w:rPr>
  </w:style>
  <w:style w:type="paragraph" w:customStyle="1" w:styleId="107">
    <w:name w:val="专用标题2"/>
    <w:basedOn w:val="4"/>
    <w:next w:val="1"/>
    <w:qFormat/>
    <w:uiPriority w:val="0"/>
    <w:pPr>
      <w:keepNext w:val="0"/>
      <w:keepLines w:val="0"/>
      <w:widowControl/>
      <w:tabs>
        <w:tab w:val="left" w:pos="993"/>
      </w:tabs>
      <w:adjustRightInd w:val="0"/>
      <w:snapToGrid w:val="0"/>
      <w:spacing w:before="0" w:afterLines="50" w:line="360" w:lineRule="auto"/>
    </w:pPr>
    <w:rPr>
      <w:rFonts w:hint="eastAsia" w:ascii="宋体" w:hAnsi="宋体" w:eastAsia="宋体"/>
      <w:bCs w:val="0"/>
      <w:kern w:val="0"/>
      <w:sz w:val="28"/>
      <w:szCs w:val="20"/>
    </w:rPr>
  </w:style>
  <w:style w:type="paragraph" w:customStyle="1" w:styleId="108">
    <w:name w:val="附件标题"/>
    <w:basedOn w:val="4"/>
    <w:next w:val="1"/>
    <w:qFormat/>
    <w:uiPriority w:val="0"/>
    <w:pPr>
      <w:widowControl/>
      <w:numPr>
        <w:ilvl w:val="0"/>
        <w:numId w:val="1"/>
      </w:numPr>
      <w:tabs>
        <w:tab w:val="left" w:pos="1135"/>
      </w:tabs>
      <w:wordWrap w:val="0"/>
      <w:topLinePunct/>
      <w:adjustRightInd w:val="0"/>
      <w:snapToGrid w:val="0"/>
      <w:spacing w:before="0" w:afterLines="50" w:line="360" w:lineRule="auto"/>
      <w:jc w:val="center"/>
    </w:pPr>
    <w:rPr>
      <w:rFonts w:hint="eastAsia" w:ascii="黑体" w:hAnsi="宋体"/>
      <w:bCs w:val="0"/>
      <w:kern w:val="0"/>
      <w:sz w:val="30"/>
      <w:szCs w:val="30"/>
    </w:rPr>
  </w:style>
  <w:style w:type="paragraph" w:customStyle="1" w:styleId="109">
    <w:name w:val="协议书标题2"/>
    <w:basedOn w:val="4"/>
    <w:next w:val="1"/>
    <w:qFormat/>
    <w:uiPriority w:val="0"/>
    <w:pPr>
      <w:keepNext w:val="0"/>
      <w:keepLines w:val="0"/>
      <w:widowControl/>
      <w:numPr>
        <w:ilvl w:val="0"/>
        <w:numId w:val="2"/>
      </w:numPr>
      <w:tabs>
        <w:tab w:val="left" w:pos="567"/>
      </w:tabs>
      <w:wordWrap w:val="0"/>
      <w:topLinePunct/>
      <w:adjustRightInd w:val="0"/>
      <w:snapToGrid w:val="0"/>
      <w:spacing w:before="0" w:afterLines="50" w:line="360" w:lineRule="auto"/>
      <w:ind w:firstLine="0"/>
      <w:jc w:val="left"/>
    </w:pPr>
    <w:rPr>
      <w:rFonts w:hint="eastAsia" w:ascii="宋体" w:hAnsi="宋体" w:eastAsia="宋体"/>
      <w:bCs w:val="0"/>
      <w:kern w:val="0"/>
      <w:sz w:val="24"/>
      <w:szCs w:val="20"/>
    </w:rPr>
  </w:style>
  <w:style w:type="paragraph" w:customStyle="1" w:styleId="110">
    <w:name w:val="Main Title"/>
    <w:basedOn w:val="1"/>
    <w:next w:val="1"/>
    <w:qFormat/>
    <w:uiPriority w:val="0"/>
    <w:pPr>
      <w:widowControl/>
      <w:adjustRightInd w:val="0"/>
      <w:snapToGrid w:val="0"/>
      <w:spacing w:afterLines="50" w:line="360" w:lineRule="auto"/>
      <w:jc w:val="center"/>
    </w:pPr>
    <w:rPr>
      <w:rFonts w:hint="eastAsia" w:ascii="黑体" w:hAnsi="宋体" w:eastAsia="黑体"/>
      <w:b/>
      <w:sz w:val="36"/>
      <w:szCs w:val="22"/>
    </w:rPr>
  </w:style>
  <w:style w:type="table" w:customStyle="1" w:styleId="111">
    <w:name w:val="TableGrid"/>
    <w:basedOn w:val="48"/>
    <w:qFormat/>
    <w:uiPriority w:val="0"/>
    <w:tblPr>
      <w:tblLayout w:type="fixed"/>
      <w:tblCellMar>
        <w:top w:w="0" w:type="dxa"/>
        <w:left w:w="0" w:type="dxa"/>
        <w:bottom w:w="0" w:type="dxa"/>
        <w:right w:w="0" w:type="dxa"/>
      </w:tblCellMar>
    </w:tblPr>
  </w:style>
  <w:style w:type="table" w:customStyle="1" w:styleId="112">
    <w:name w:val="网格型1"/>
    <w:basedOn w:val="48"/>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1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4">
    <w:name w:val="合同条款2"/>
    <w:basedOn w:val="1"/>
    <w:qFormat/>
    <w:uiPriority w:val="0"/>
    <w:pPr>
      <w:spacing w:line="360" w:lineRule="auto"/>
      <w:ind w:firstLine="420" w:firstLineChars="200"/>
    </w:pPr>
    <w:rPr>
      <w:rFonts w:ascii="仿宋_GB2312"/>
      <w:szCs w:val="21"/>
    </w:rPr>
  </w:style>
  <w:style w:type="paragraph" w:customStyle="1" w:styleId="115">
    <w:name w:val="列出段落1"/>
    <w:qFormat/>
    <w:uiPriority w:val="34"/>
    <w:pPr>
      <w:widowControl w:val="0"/>
      <w:ind w:left="7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16">
    <w:name w:val="列出段落2"/>
    <w:basedOn w:val="1"/>
    <w:qFormat/>
    <w:uiPriority w:val="0"/>
    <w:pPr>
      <w:ind w:firstLine="420" w:firstLineChars="200"/>
    </w:pPr>
    <w:rPr>
      <w:szCs w:val="20"/>
    </w:rPr>
  </w:style>
  <w:style w:type="table" w:customStyle="1" w:styleId="117">
    <w:name w:val="网格型2"/>
    <w:basedOn w:val="4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8">
    <w:name w:val="NormalCharacter"/>
    <w:semiHidden/>
    <w:qFormat/>
    <w:uiPriority w:val="0"/>
    <w:rPr>
      <w:kern w:val="2"/>
      <w:sz w:val="21"/>
      <w:szCs w:val="24"/>
      <w:lang w:val="en-US" w:eastAsia="zh-CN" w:bidi="ar-SA"/>
    </w:rPr>
  </w:style>
  <w:style w:type="paragraph" w:customStyle="1" w:styleId="119">
    <w:name w:val="Blockquote"/>
    <w:basedOn w:val="1"/>
    <w:qFormat/>
    <w:uiPriority w:val="0"/>
    <w:pPr>
      <w:autoSpaceDE w:val="0"/>
      <w:autoSpaceDN w:val="0"/>
      <w:adjustRightInd w:val="0"/>
      <w:spacing w:before="100" w:after="100"/>
      <w:ind w:left="360" w:right="360"/>
      <w:jc w:val="left"/>
    </w:pPr>
    <w:rPr>
      <w:rFonts w:ascii="Calibri" w:hAnsi="Calibri"/>
      <w:b/>
      <w:kern w:val="0"/>
      <w:sz w:val="24"/>
      <w:szCs w:val="20"/>
    </w:rPr>
  </w:style>
  <w:style w:type="table" w:customStyle="1" w:styleId="120">
    <w:name w:val="Table Normal"/>
    <w:basedOn w:val="48"/>
    <w:qFormat/>
    <w:uiPriority w:val="0"/>
    <w:rPr>
      <w:rFonts w:eastAsia="Times New Roman"/>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7DF03-0188-40A8-BF0D-5F99C17FB8F7}">
  <ds:schemaRefs/>
</ds:datastoreItem>
</file>

<file path=docProps/app.xml><?xml version="1.0" encoding="utf-8"?>
<Properties xmlns="http://schemas.openxmlformats.org/officeDocument/2006/extended-properties" xmlns:vt="http://schemas.openxmlformats.org/officeDocument/2006/docPropsVTypes">
  <Template>Normal.dotm</Template>
  <Company>hyha</Company>
  <Pages>49</Pages>
  <Words>4310</Words>
  <Characters>24568</Characters>
  <Lines>204</Lines>
  <Paragraphs>57</Paragraphs>
  <TotalTime>0</TotalTime>
  <ScaleCrop>false</ScaleCrop>
  <LinksUpToDate>false</LinksUpToDate>
  <CharactersWithSpaces>28821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2023-10-14T02:59:00Z</dcterms:created>
  <dc:creator>赵翔</dc:creator>
  <cp:lastModifiedBy>李朋</cp:lastModifiedBy>
  <cp:lastPrinted>2023-10-17T08:10:00Z</cp:lastPrinted>
  <dcterms:modified xsi:type="dcterms:W3CDTF">2023-10-19T06:54:22Z</dcterms:modified>
  <dc:subject>健康置业-施工类招标文件范本</dc:subject>
  <dc:title>邀请或公开招标招标文件-赵翔</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9CA9BB76EB594651B9E1B22B3C20605D_13</vt:lpwstr>
  </property>
</Properties>
</file>